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D44D11" w14:textId="1C693BE5" w:rsidR="00711FCB" w:rsidRPr="00473A6E" w:rsidRDefault="00DD5EFE" w:rsidP="003B5A41">
      <w:pPr>
        <w:pStyle w:val="Title"/>
      </w:pPr>
      <w:r>
        <w:t xml:space="preserve">NewToN </w:t>
      </w:r>
      <w:r w:rsidR="00155CA1">
        <w:t>– Performance eval</w:t>
      </w:r>
      <w:r w:rsidR="00613A10">
        <w:t>u</w:t>
      </w:r>
      <w:r w:rsidR="00155CA1">
        <w:t>ation</w:t>
      </w:r>
      <w:r w:rsidR="006406F8">
        <w:t xml:space="preserve"> (update of GP-140589)</w:t>
      </w:r>
    </w:p>
    <w:p w14:paraId="43D44D12" w14:textId="77777777" w:rsidR="003B5A41" w:rsidRDefault="00A32592" w:rsidP="005234C8">
      <w:pPr>
        <w:pStyle w:val="Heading1"/>
        <w:rPr>
          <w:lang w:val="sv-SE"/>
        </w:rPr>
      </w:pPr>
      <w:r>
        <w:rPr>
          <w:lang w:val="sv-SE"/>
        </w:rPr>
        <w:t>Introduction</w:t>
      </w:r>
    </w:p>
    <w:p w14:paraId="3D22C978" w14:textId="4DB7A5D7" w:rsidR="008C7E64" w:rsidRDefault="008C7E64" w:rsidP="001E6D38">
      <w:pPr>
        <w:pStyle w:val="BodyText"/>
      </w:pPr>
      <w:r>
        <w:t xml:space="preserve">A new work item on </w:t>
      </w:r>
      <w:r>
        <w:rPr>
          <w:b/>
        </w:rPr>
        <w:t>New</w:t>
      </w:r>
      <w:r>
        <w:t xml:space="preserve"> </w:t>
      </w:r>
      <w:r>
        <w:rPr>
          <w:b/>
        </w:rPr>
        <w:t>T</w:t>
      </w:r>
      <w:r>
        <w:t>raining Sequences f</w:t>
      </w:r>
      <w:r>
        <w:rPr>
          <w:b/>
        </w:rPr>
        <w:t>o</w:t>
      </w:r>
      <w:r>
        <w:t>r GERA</w:t>
      </w:r>
      <w:r>
        <w:rPr>
          <w:b/>
        </w:rPr>
        <w:t>N</w:t>
      </w:r>
      <w:r>
        <w:t xml:space="preserve">, acronym NewToN, was approved at GERAN#60, see </w:t>
      </w:r>
      <w:r>
        <w:fldChar w:fldCharType="begin"/>
      </w:r>
      <w:r>
        <w:instrText xml:space="preserve"> REF _Ref379897437 \r \h </w:instrText>
      </w:r>
      <w:r w:rsidR="001E6D38">
        <w:instrText xml:space="preserve"> \* MERGEFORMAT </w:instrText>
      </w:r>
      <w:r>
        <w:fldChar w:fldCharType="separate"/>
      </w:r>
      <w:r w:rsidR="002A7BC0">
        <w:t>[1]</w:t>
      </w:r>
      <w:r>
        <w:fldChar w:fldCharType="end"/>
      </w:r>
      <w:r>
        <w:t>.</w:t>
      </w:r>
    </w:p>
    <w:p w14:paraId="57CBB341" w14:textId="7A97C8E5" w:rsidR="00BB4427" w:rsidRDefault="008C7E64" w:rsidP="001E6D38">
      <w:pPr>
        <w:pStyle w:val="BodyText"/>
      </w:pPr>
      <w:r>
        <w:t>The work consists of defining new training sequences for both CS and PS services in GERAN with the aim to reduce the cross correlation between TSCs to primarily allow for a more spectral efficient implementation of synchronized GSM networks.</w:t>
      </w:r>
    </w:p>
    <w:p w14:paraId="07156F7F" w14:textId="0893A09B" w:rsidR="003B22C5" w:rsidRDefault="003B22C5" w:rsidP="001E6D38">
      <w:pPr>
        <w:pStyle w:val="BodyText"/>
      </w:pPr>
      <w:r>
        <w:t>The new TSC sets are referred to as Set 3 and Set 4 for GMSK modulation</w:t>
      </w:r>
      <w:r w:rsidR="006875D6">
        <w:t xml:space="preserve"> (two sets introduced double the TSC sets in the CS domain)</w:t>
      </w:r>
      <w:r>
        <w:t>, while for other modulations referred to as Set 2.</w:t>
      </w:r>
    </w:p>
    <w:p w14:paraId="77754197" w14:textId="5E06E761" w:rsidR="00216337" w:rsidRDefault="00D75F90" w:rsidP="001E6D38">
      <w:pPr>
        <w:pStyle w:val="BodyText"/>
      </w:pPr>
      <w:r>
        <w:t xml:space="preserve">A performance evaluation framework has been agreed (see reference </w:t>
      </w:r>
      <w:r>
        <w:fldChar w:fldCharType="begin"/>
      </w:r>
      <w:r>
        <w:instrText xml:space="preserve"> REF _Ref396315673 \r \h </w:instrText>
      </w:r>
      <w:r w:rsidR="001E6D38">
        <w:instrText xml:space="preserve"> \* MERGEFORMAT </w:instrText>
      </w:r>
      <w:r>
        <w:fldChar w:fldCharType="separate"/>
      </w:r>
      <w:r w:rsidR="002A7BC0">
        <w:t>[2]</w:t>
      </w:r>
      <w:r>
        <w:fldChar w:fldCharType="end"/>
      </w:r>
      <w:r>
        <w:t xml:space="preserve">) to be able to select among different TSC proposals. Currently, there is only one </w:t>
      </w:r>
      <w:r w:rsidR="00C13E67">
        <w:t xml:space="preserve">TSC proposal </w:t>
      </w:r>
      <w:r>
        <w:t xml:space="preserve">available (see reference </w:t>
      </w:r>
      <w:r w:rsidR="00C13E67">
        <w:fldChar w:fldCharType="begin"/>
      </w:r>
      <w:r w:rsidR="00C13E67">
        <w:instrText xml:space="preserve"> REF _Ref396241139 \r \h </w:instrText>
      </w:r>
      <w:r w:rsidR="001E6D38">
        <w:instrText xml:space="preserve"> \* MERGEFORMAT </w:instrText>
      </w:r>
      <w:r w:rsidR="00C13E67">
        <w:fldChar w:fldCharType="separate"/>
      </w:r>
      <w:r w:rsidR="002A7BC0">
        <w:t>[3]</w:t>
      </w:r>
      <w:r w:rsidR="00C13E67">
        <w:fldChar w:fldCharType="end"/>
      </w:r>
      <w:r>
        <w:t>)</w:t>
      </w:r>
      <w:r w:rsidR="001D43B5">
        <w:t xml:space="preserve">, but the framework can also be used to compare a TSC proposal to the legacy TSC sets. In Annex A, a relative performance comparison according to the framework is shown. The final metric (basically a weighted average of </w:t>
      </w:r>
      <w:r w:rsidR="00C31775">
        <w:t xml:space="preserve">the performance with </w:t>
      </w:r>
      <w:r w:rsidR="001D43B5">
        <w:t>all possible combinations of TSCs for carrier and interferer in various scenarios) for the new TSC set is found to be 0.</w:t>
      </w:r>
      <w:r w:rsidR="00441BC0">
        <w:t>7</w:t>
      </w:r>
      <w:r w:rsidR="001D43B5">
        <w:t xml:space="preserve"> dB better than legacy</w:t>
      </w:r>
      <w:r w:rsidR="00441BC0">
        <w:t xml:space="preserve"> when including TSC set 2 for GMSK, and </w:t>
      </w:r>
      <w:r w:rsidR="00B20758">
        <w:t>1.5</w:t>
      </w:r>
      <w:r w:rsidR="00441BC0">
        <w:t xml:space="preserve"> dB if only TSC set 1 from all modulations are considered</w:t>
      </w:r>
      <w:r w:rsidR="001D43B5">
        <w:t>.</w:t>
      </w:r>
    </w:p>
    <w:p w14:paraId="72741003" w14:textId="5E965157" w:rsidR="001D43B5" w:rsidRDefault="001D43B5" w:rsidP="001E6D38">
      <w:pPr>
        <w:pStyle w:val="BodyText"/>
      </w:pPr>
      <w:r>
        <w:t>Whereas this is an attractive improvement, it may not fully reflec</w:t>
      </w:r>
      <w:r w:rsidR="00675358">
        <w:t>t the expected gains of NewToN. One important aspect of extending the set of training sequences is that it increases the possibilities of TSC planning so that under-performing TSC combinations can more easily be avoided.</w:t>
      </w:r>
    </w:p>
    <w:p w14:paraId="39BCD5B3" w14:textId="23972750" w:rsidR="00EC4D0C" w:rsidRDefault="00675358" w:rsidP="001E6D38">
      <w:pPr>
        <w:pStyle w:val="BodyText"/>
      </w:pPr>
      <w:r>
        <w:t xml:space="preserve">In this contribution, </w:t>
      </w:r>
      <w:r w:rsidR="00EC4D0C">
        <w:t xml:space="preserve">the following aspects of using an extended TSC set </w:t>
      </w:r>
      <w:r w:rsidR="00CC0D10">
        <w:t>are</w:t>
      </w:r>
      <w:r w:rsidR="00EC4D0C">
        <w:t xml:space="preserve"> investigated:</w:t>
      </w:r>
    </w:p>
    <w:p w14:paraId="53C99BC2" w14:textId="48F63DBE" w:rsidR="003737FF" w:rsidRDefault="00EC4D0C" w:rsidP="00C83A04">
      <w:pPr>
        <w:pStyle w:val="ListParagraph"/>
        <w:numPr>
          <w:ilvl w:val="0"/>
          <w:numId w:val="18"/>
        </w:numPr>
      </w:pPr>
      <w:r>
        <w:t xml:space="preserve">The </w:t>
      </w:r>
      <w:r w:rsidR="004E162F">
        <w:t>benefits</w:t>
      </w:r>
      <w:r w:rsidR="00675358">
        <w:t xml:space="preserve"> of </w:t>
      </w:r>
      <w:r w:rsidR="004E162F">
        <w:t>extended TSC sets</w:t>
      </w:r>
      <w:r w:rsidR="00675358">
        <w:t xml:space="preserve"> </w:t>
      </w:r>
      <w:r w:rsidR="005578C0">
        <w:t>for</w:t>
      </w:r>
      <w:r w:rsidR="00675358">
        <w:t xml:space="preserve"> TSC planning are investigated</w:t>
      </w:r>
      <w:r w:rsidR="003737FF">
        <w:t>:</w:t>
      </w:r>
    </w:p>
    <w:p w14:paraId="587A1577" w14:textId="31E6E887" w:rsidR="00675358" w:rsidRDefault="00675358" w:rsidP="00C83A04">
      <w:pPr>
        <w:pStyle w:val="ListParagraph"/>
        <w:numPr>
          <w:ilvl w:val="1"/>
          <w:numId w:val="18"/>
        </w:numPr>
      </w:pPr>
      <w:r>
        <w:t xml:space="preserve">In </w:t>
      </w:r>
      <w:r w:rsidR="00CC0D10">
        <w:t xml:space="preserve">Section </w:t>
      </w:r>
      <w:r w:rsidR="00CC0D10">
        <w:fldChar w:fldCharType="begin"/>
      </w:r>
      <w:r w:rsidR="00CC0D10">
        <w:instrText xml:space="preserve"> REF _Ref396765482 \r \h </w:instrText>
      </w:r>
      <w:r w:rsidR="00CC0D10">
        <w:fldChar w:fldCharType="separate"/>
      </w:r>
      <w:r w:rsidR="002A7BC0">
        <w:t>2</w:t>
      </w:r>
      <w:r w:rsidR="00CC0D10">
        <w:fldChar w:fldCharType="end"/>
      </w:r>
      <w:r>
        <w:t>, the impact of co-TSC interference – interference from an interferer with the same TSC as the wanted signal – is studied</w:t>
      </w:r>
      <w:r w:rsidR="00CC0D10">
        <w:t xml:space="preserve"> on link level based on system level statistics</w:t>
      </w:r>
      <w:r>
        <w:t>.</w:t>
      </w:r>
    </w:p>
    <w:p w14:paraId="25A68474" w14:textId="45A6A16B" w:rsidR="003737FF" w:rsidRPr="006406F8" w:rsidRDefault="006406F8" w:rsidP="00C83A04">
      <w:pPr>
        <w:pStyle w:val="ListParagraph"/>
        <w:numPr>
          <w:ilvl w:val="1"/>
          <w:numId w:val="18"/>
        </w:numPr>
        <w:rPr>
          <w:color w:val="FF0000"/>
        </w:rPr>
      </w:pPr>
      <w:r w:rsidRPr="006406F8">
        <w:rPr>
          <w:color w:val="FF0000"/>
        </w:rPr>
        <w:t xml:space="preserve">In Section </w:t>
      </w:r>
      <w:r w:rsidRPr="006406F8">
        <w:rPr>
          <w:color w:val="FF0000"/>
        </w:rPr>
        <w:fldChar w:fldCharType="begin"/>
      </w:r>
      <w:r w:rsidRPr="006406F8">
        <w:rPr>
          <w:color w:val="FF0000"/>
        </w:rPr>
        <w:instrText xml:space="preserve"> REF _Ref396765520 \r \h </w:instrText>
      </w:r>
      <w:r w:rsidRPr="006406F8">
        <w:rPr>
          <w:color w:val="FF0000"/>
        </w:rPr>
      </w:r>
      <w:r w:rsidRPr="006406F8">
        <w:rPr>
          <w:color w:val="FF0000"/>
        </w:rPr>
        <w:fldChar w:fldCharType="separate"/>
      </w:r>
      <w:r w:rsidR="002A7BC0">
        <w:rPr>
          <w:color w:val="FF0000"/>
        </w:rPr>
        <w:t>3</w:t>
      </w:r>
      <w:r w:rsidRPr="006406F8">
        <w:rPr>
          <w:color w:val="FF0000"/>
        </w:rPr>
        <w:fldChar w:fldCharType="end"/>
      </w:r>
      <w:r w:rsidRPr="006406F8">
        <w:rPr>
          <w:color w:val="FF0000"/>
        </w:rPr>
        <w:t xml:space="preserve"> s</w:t>
      </w:r>
      <w:r w:rsidR="003737FF" w:rsidRPr="006406F8">
        <w:rPr>
          <w:color w:val="FF0000"/>
        </w:rPr>
        <w:t>ystem level simulations using TSC planning with current and existing TSC sets are evaluated</w:t>
      </w:r>
      <w:r w:rsidRPr="006406F8">
        <w:rPr>
          <w:color w:val="FF0000"/>
        </w:rPr>
        <w:t xml:space="preserve"> both in a non-VAMOS and VAMOS network scenario</w:t>
      </w:r>
    </w:p>
    <w:p w14:paraId="569AE6EC" w14:textId="49FE500A" w:rsidR="00EC4D0C" w:rsidRDefault="00EC4D0C" w:rsidP="00C83A04">
      <w:pPr>
        <w:pStyle w:val="ListParagraph"/>
        <w:numPr>
          <w:ilvl w:val="0"/>
          <w:numId w:val="18"/>
        </w:numPr>
      </w:pPr>
      <w:r>
        <w:t>The benefit of extended TSCs sets according to the agreed performance framework is presented</w:t>
      </w:r>
      <w:r w:rsidR="00CC0D10">
        <w:t xml:space="preserve"> in Section </w:t>
      </w:r>
      <w:r w:rsidR="00CC0D10">
        <w:fldChar w:fldCharType="begin"/>
      </w:r>
      <w:r w:rsidR="00CC0D10">
        <w:instrText xml:space="preserve"> REF _Ref396765598 \r \h </w:instrText>
      </w:r>
      <w:r w:rsidR="00CC0D10">
        <w:fldChar w:fldCharType="separate"/>
      </w:r>
      <w:r w:rsidR="002A7BC0">
        <w:t>4</w:t>
      </w:r>
      <w:r w:rsidR="00CC0D10">
        <w:fldChar w:fldCharType="end"/>
      </w:r>
    </w:p>
    <w:p w14:paraId="248B5D8A" w14:textId="49E76B00" w:rsidR="006406F8" w:rsidRPr="00980226" w:rsidRDefault="006406F8" w:rsidP="001E6D38">
      <w:pPr>
        <w:pStyle w:val="BodyText"/>
      </w:pPr>
      <w:r w:rsidRPr="001E6D38">
        <w:rPr>
          <w:color w:val="FF0000"/>
        </w:rPr>
        <w:t>The paper is an update of GP-140589. The updates are highlighted in red and consist of additional results on system level by evaluating NewToN together with VAMOS which was agreed at GERAN#63 in the exception sheet</w:t>
      </w:r>
      <w:r w:rsidR="00FB4435" w:rsidRPr="001E6D38">
        <w:rPr>
          <w:color w:val="FF0000"/>
        </w:rPr>
        <w:t xml:space="preserve">, see </w:t>
      </w:r>
      <w:r w:rsidR="00D2168D" w:rsidRPr="001E6D38">
        <w:rPr>
          <w:color w:val="FF0000"/>
        </w:rPr>
        <w:fldChar w:fldCharType="begin"/>
      </w:r>
      <w:r w:rsidR="00D2168D" w:rsidRPr="001E6D38">
        <w:rPr>
          <w:color w:val="FF0000"/>
        </w:rPr>
        <w:instrText xml:space="preserve"> REF _Ref402806569 \r \h </w:instrText>
      </w:r>
      <w:r w:rsidR="001E6D38" w:rsidRPr="001E6D38">
        <w:rPr>
          <w:color w:val="FF0000"/>
        </w:rPr>
        <w:instrText xml:space="preserve"> \* MERGEFORMAT </w:instrText>
      </w:r>
      <w:r w:rsidR="00D2168D" w:rsidRPr="001E6D38">
        <w:rPr>
          <w:color w:val="FF0000"/>
        </w:rPr>
      </w:r>
      <w:r w:rsidR="00D2168D" w:rsidRPr="001E6D38">
        <w:rPr>
          <w:color w:val="FF0000"/>
        </w:rPr>
        <w:fldChar w:fldCharType="separate"/>
      </w:r>
      <w:r w:rsidR="002A7BC0">
        <w:rPr>
          <w:color w:val="FF0000"/>
        </w:rPr>
        <w:t>[5]</w:t>
      </w:r>
      <w:r w:rsidR="00D2168D" w:rsidRPr="001E6D38">
        <w:rPr>
          <w:color w:val="FF0000"/>
        </w:rPr>
        <w:fldChar w:fldCharType="end"/>
      </w:r>
      <w:r w:rsidRPr="001E6D38">
        <w:rPr>
          <w:color w:val="FF0000"/>
        </w:rPr>
        <w:t>, to be the remaining part of the NewToN work:</w:t>
      </w:r>
    </w:p>
    <w:p w14:paraId="0081CE4C" w14:textId="1F7D2BFF" w:rsidR="006406F8" w:rsidRPr="00980226" w:rsidRDefault="006406F8" w:rsidP="006406F8">
      <w:pPr>
        <w:pStyle w:val="ListParagraph"/>
        <w:numPr>
          <w:ilvl w:val="0"/>
          <w:numId w:val="19"/>
        </w:numPr>
        <w:rPr>
          <w:i/>
          <w:color w:val="FF0000"/>
        </w:rPr>
      </w:pPr>
      <w:r w:rsidRPr="00980226">
        <w:rPr>
          <w:i/>
          <w:color w:val="FF0000"/>
        </w:rPr>
        <w:lastRenderedPageBreak/>
        <w:t>“</w:t>
      </w:r>
      <w:r w:rsidR="00FB4435" w:rsidRPr="00980226">
        <w:rPr>
          <w:i/>
          <w:color w:val="FF0000"/>
          <w:lang w:eastAsia="zh-CN"/>
        </w:rPr>
        <w:t>What is left of the work is to quantify and agree on the performance benefits on system level brought by the feature by additional performance evaluation of the VAMOS feature with NewToN TSCs.</w:t>
      </w:r>
      <w:r w:rsidRPr="00980226">
        <w:rPr>
          <w:i/>
          <w:color w:val="FF0000"/>
        </w:rPr>
        <w:t>”</w:t>
      </w:r>
    </w:p>
    <w:p w14:paraId="40668F39" w14:textId="26095558" w:rsidR="00613A10" w:rsidRDefault="00675358" w:rsidP="005234C8">
      <w:pPr>
        <w:pStyle w:val="Heading1"/>
      </w:pPr>
      <w:bookmarkStart w:id="0" w:name="_Ref396765482"/>
      <w:r>
        <w:t>Impact of co-TSC interference</w:t>
      </w:r>
      <w:bookmarkEnd w:id="0"/>
    </w:p>
    <w:p w14:paraId="40ED5BDD" w14:textId="6CE9FCC8" w:rsidR="00EC4D0C" w:rsidRPr="00EC4D0C" w:rsidRDefault="00EC4D0C" w:rsidP="005234C8">
      <w:pPr>
        <w:pStyle w:val="Heading2"/>
      </w:pPr>
      <w:r>
        <w:t>Introduction</w:t>
      </w:r>
    </w:p>
    <w:p w14:paraId="3DB10A61" w14:textId="4E00B504" w:rsidR="004E162F" w:rsidRDefault="004E162F" w:rsidP="001E6D38">
      <w:pPr>
        <w:pStyle w:val="BodyText"/>
      </w:pPr>
      <w:r>
        <w:fldChar w:fldCharType="begin"/>
      </w:r>
      <w:r>
        <w:instrText xml:space="preserve"> REF _Ref396319352 \h </w:instrText>
      </w:r>
      <w:r w:rsidR="001E6D38">
        <w:instrText xml:space="preserve"> \* MERGEFORMAT </w:instrText>
      </w:r>
      <w:r>
        <w:fldChar w:fldCharType="separate"/>
      </w:r>
      <w:r w:rsidR="002A7BC0">
        <w:t xml:space="preserve">Figure </w:t>
      </w:r>
      <w:r w:rsidR="002A7BC0">
        <w:rPr>
          <w:noProof/>
        </w:rPr>
        <w:t>1</w:t>
      </w:r>
      <w:r>
        <w:fldChar w:fldCharType="end"/>
      </w:r>
      <w:r>
        <w:t xml:space="preserve"> illustrates an extreme example of the impact of co-TSC interference. An IRC receiver interfered by a single co-channel interferer has been simulated. The </w:t>
      </w:r>
      <w:r w:rsidR="00D80DD8">
        <w:t xml:space="preserve">interferer </w:t>
      </w:r>
      <w:r>
        <w:t xml:space="preserve">is synchronized </w:t>
      </w:r>
      <w:r w:rsidR="00D80DD8">
        <w:t xml:space="preserve">to the carrier </w:t>
      </w:r>
      <w:r w:rsidR="004C5413">
        <w:t>but</w:t>
      </w:r>
      <w:r>
        <w:t xml:space="preserve"> has a propagation delay according to the agreed propagation delay model for NewToN.</w:t>
      </w:r>
    </w:p>
    <w:p w14:paraId="6B474BE1" w14:textId="40C68269" w:rsidR="004E162F" w:rsidRDefault="004E162F" w:rsidP="001E6D38">
      <w:pPr>
        <w:pStyle w:val="BodyText"/>
      </w:pPr>
      <w:r>
        <w:t xml:space="preserve">In the </w:t>
      </w:r>
      <w:r w:rsidR="00D80DD8">
        <w:t>“C</w:t>
      </w:r>
      <w:r>
        <w:t>o-TSC</w:t>
      </w:r>
      <w:r w:rsidR="00D80DD8">
        <w:t>”</w:t>
      </w:r>
      <w:r>
        <w:t xml:space="preserve"> case, the interferer </w:t>
      </w:r>
      <w:r w:rsidR="003B3FAA">
        <w:t xml:space="preserve">always </w:t>
      </w:r>
      <w:r>
        <w:t xml:space="preserve">has the same TSC as the carrier, whereas in the </w:t>
      </w:r>
      <w:r w:rsidR="00D80DD8">
        <w:t>“Other TSC” case, the interferer TSC is randomly chosen from the other seven TSCs in GMSK set 1.</w:t>
      </w:r>
    </w:p>
    <w:p w14:paraId="08A75D91" w14:textId="1ECF2282" w:rsidR="00D80DD8" w:rsidRPr="004E162F" w:rsidRDefault="00D80DD8" w:rsidP="001E6D38">
      <w:pPr>
        <w:pStyle w:val="BodyText"/>
      </w:pPr>
      <w:r>
        <w:t xml:space="preserve">At 1% FER, the difference between the two curves is about 18 </w:t>
      </w:r>
      <w:proofErr w:type="spellStart"/>
      <w:r>
        <w:t>dB.</w:t>
      </w:r>
      <w:proofErr w:type="spellEnd"/>
      <w:r>
        <w:t xml:space="preserve"> Even though</w:t>
      </w:r>
      <w:r w:rsidR="003B3FAA">
        <w:t xml:space="preserve"> this is in an extreme scenario, it</w:t>
      </w:r>
      <w:r>
        <w:t xml:space="preserve"> </w:t>
      </w:r>
      <w:r w:rsidR="003B3FAA">
        <w:t xml:space="preserve">is obvious </w:t>
      </w:r>
      <w:r>
        <w:t xml:space="preserve">that co-TSC interference is </w:t>
      </w:r>
      <w:r w:rsidR="003B3FAA">
        <w:t>very detrimental to IRC. Similar results (not shown here) have been noticed for a SAIC receiver.</w:t>
      </w:r>
    </w:p>
    <w:p w14:paraId="3C29AE1D" w14:textId="0BF1ADDA" w:rsidR="00675358" w:rsidRDefault="004E162F" w:rsidP="004E162F">
      <w:pPr>
        <w:keepNext/>
        <w:jc w:val="center"/>
      </w:pPr>
      <w:r>
        <w:rPr>
          <w:noProof/>
        </w:rPr>
        <w:drawing>
          <wp:inline distT="0" distB="0" distL="0" distR="0" wp14:anchorId="51A73233" wp14:editId="173DC86B">
            <wp:extent cx="4089600" cy="3074400"/>
            <wp:effectExtent l="0" t="0" r="635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ERvsCI_singleCCI.png"/>
                    <pic:cNvPicPr/>
                  </pic:nvPicPr>
                  <pic:blipFill>
                    <a:blip r:embed="rId9">
                      <a:extLst>
                        <a:ext uri="{28A0092B-C50C-407E-A947-70E740481C1C}">
                          <a14:useLocalDpi xmlns:a14="http://schemas.microsoft.com/office/drawing/2010/main" val="0"/>
                        </a:ext>
                      </a:extLst>
                    </a:blip>
                    <a:stretch>
                      <a:fillRect/>
                    </a:stretch>
                  </pic:blipFill>
                  <pic:spPr>
                    <a:xfrm>
                      <a:off x="0" y="0"/>
                      <a:ext cx="4089600" cy="3074400"/>
                    </a:xfrm>
                    <a:prstGeom prst="rect">
                      <a:avLst/>
                    </a:prstGeom>
                  </pic:spPr>
                </pic:pic>
              </a:graphicData>
            </a:graphic>
          </wp:inline>
        </w:drawing>
      </w:r>
    </w:p>
    <w:p w14:paraId="63475303" w14:textId="1ABE7290" w:rsidR="005578C0" w:rsidRPr="00675358" w:rsidRDefault="005578C0" w:rsidP="005578C0">
      <w:pPr>
        <w:pStyle w:val="Caption"/>
        <w:ind w:left="0"/>
      </w:pPr>
      <w:bookmarkStart w:id="1" w:name="_Ref396319352"/>
      <w:r>
        <w:t xml:space="preserve">Figure </w:t>
      </w:r>
      <w:r w:rsidR="0059426A">
        <w:fldChar w:fldCharType="begin"/>
      </w:r>
      <w:r w:rsidR="0059426A">
        <w:instrText xml:space="preserve"> SEQ Figure \* ARABIC </w:instrText>
      </w:r>
      <w:r w:rsidR="0059426A">
        <w:fldChar w:fldCharType="separate"/>
      </w:r>
      <w:r w:rsidR="002A7BC0">
        <w:rPr>
          <w:noProof/>
        </w:rPr>
        <w:t>1</w:t>
      </w:r>
      <w:r w:rsidR="0059426A">
        <w:rPr>
          <w:noProof/>
        </w:rPr>
        <w:fldChar w:fldCharType="end"/>
      </w:r>
      <w:bookmarkEnd w:id="1"/>
      <w:r>
        <w:t>: FER vs C/I with single C</w:t>
      </w:r>
      <w:r w:rsidR="004E162F">
        <w:t>CI.</w:t>
      </w:r>
    </w:p>
    <w:p w14:paraId="68F8DCC4" w14:textId="487B9769" w:rsidR="00DD5EFE" w:rsidRDefault="003B3FAA" w:rsidP="005234C8">
      <w:pPr>
        <w:pStyle w:val="Heading2"/>
      </w:pPr>
      <w:bookmarkStart w:id="2" w:name="_Ref396332541"/>
      <w:r>
        <w:t>System model of co-TSC interference</w:t>
      </w:r>
      <w:bookmarkEnd w:id="2"/>
    </w:p>
    <w:p w14:paraId="486792E8" w14:textId="16633A1B" w:rsidR="003B3FAA" w:rsidRDefault="00024330" w:rsidP="001E6D38">
      <w:pPr>
        <w:pStyle w:val="BodyText"/>
      </w:pPr>
      <w:r>
        <w:t xml:space="preserve">To </w:t>
      </w:r>
      <w:r w:rsidR="00871C41">
        <w:t>assess the impact of TSC planning to reduce co-TSC interference in real networks, the following approach has been taken:</w:t>
      </w:r>
    </w:p>
    <w:p w14:paraId="5246F3BB" w14:textId="7BB86CE7" w:rsidR="00871C41" w:rsidRDefault="00871C41" w:rsidP="00871C41">
      <w:pPr>
        <w:pStyle w:val="ListParagraph"/>
        <w:numPr>
          <w:ilvl w:val="0"/>
          <w:numId w:val="17"/>
        </w:numPr>
      </w:pPr>
      <w:r>
        <w:t xml:space="preserve">For a given network, TSC planning is performed seeking to avoid strong co-TSC interference. Two different TSC plans </w:t>
      </w:r>
      <w:r w:rsidR="004C5413">
        <w:t xml:space="preserve">were derived </w:t>
      </w:r>
      <w:r>
        <w:t xml:space="preserve">using eight TSCs (corresponding to the legacy case without VAMOS) and 16 TSCs (corresponding </w:t>
      </w:r>
      <w:r w:rsidR="005F54AC">
        <w:t xml:space="preserve">e.g. </w:t>
      </w:r>
      <w:r>
        <w:t>to the case of extended TSC sets), respectively.</w:t>
      </w:r>
      <w:r w:rsidR="00441BC0" w:rsidRPr="00441BC0">
        <w:t xml:space="preserve"> </w:t>
      </w:r>
      <w:r w:rsidR="00441BC0">
        <w:t>The TSC planning algorithm is proprietary but should be seen to reflect a realistic TSC planning in the field.</w:t>
      </w:r>
    </w:p>
    <w:p w14:paraId="44589BF1" w14:textId="2D785BD8" w:rsidR="00871C41" w:rsidRDefault="00871C41" w:rsidP="00871C41">
      <w:pPr>
        <w:pStyle w:val="ListParagraph"/>
        <w:numPr>
          <w:ilvl w:val="0"/>
          <w:numId w:val="17"/>
        </w:numPr>
      </w:pPr>
      <w:r>
        <w:lastRenderedPageBreak/>
        <w:t xml:space="preserve">System simulations are run using the derived TSC plans to </w:t>
      </w:r>
      <w:r w:rsidR="00EB3DE8">
        <w:t xml:space="preserve">get statistics of interference </w:t>
      </w:r>
      <w:r>
        <w:t>levels and co-TSC probabilities.</w:t>
      </w:r>
    </w:p>
    <w:p w14:paraId="78676CC1" w14:textId="4D7A8891" w:rsidR="00871C41" w:rsidRPr="003B3FAA" w:rsidRDefault="00EB3DE8" w:rsidP="00871C41">
      <w:pPr>
        <w:pStyle w:val="ListParagraph"/>
        <w:numPr>
          <w:ilvl w:val="0"/>
          <w:numId w:val="17"/>
        </w:numPr>
      </w:pPr>
      <w:r>
        <w:t xml:space="preserve">The statistics are used to build </w:t>
      </w:r>
      <w:r w:rsidR="004C5413">
        <w:t xml:space="preserve">an </w:t>
      </w:r>
      <w:r>
        <w:t xml:space="preserve">interference model that </w:t>
      </w:r>
      <w:r w:rsidR="004C5413">
        <w:t>is</w:t>
      </w:r>
      <w:r>
        <w:t xml:space="preserve"> used in a link simulator to derive link performance impacts.</w:t>
      </w:r>
    </w:p>
    <w:p w14:paraId="7458AC3B" w14:textId="08D456C9" w:rsidR="00C15842" w:rsidRDefault="00C15842" w:rsidP="005234C8">
      <w:pPr>
        <w:pStyle w:val="Heading3"/>
      </w:pPr>
      <w:r>
        <w:t>Network configuration</w:t>
      </w:r>
    </w:p>
    <w:p w14:paraId="0C4E72A3" w14:textId="0C2D4860" w:rsidR="00EB3DE8" w:rsidRPr="001E6D38" w:rsidRDefault="00EB3DE8" w:rsidP="001E6D38">
      <w:pPr>
        <w:pStyle w:val="BodyText"/>
      </w:pPr>
      <w:r w:rsidRPr="001E6D38">
        <w:t>The considered network is a tight reuse network with 100% speech users</w:t>
      </w:r>
      <w:r w:rsidR="00441BC0" w:rsidRPr="001E6D38">
        <w:t xml:space="preserve"> and with the network load placed at around 2% hard blocking</w:t>
      </w:r>
      <w:r w:rsidRPr="001E6D38">
        <w:t xml:space="preserve">. The configuration is summarized in </w:t>
      </w:r>
      <w:r w:rsidRPr="001E6D38">
        <w:fldChar w:fldCharType="begin"/>
      </w:r>
      <w:r w:rsidRPr="001E6D38">
        <w:instrText xml:space="preserve"> REF _Ref396323603 \h </w:instrText>
      </w:r>
      <w:r w:rsidR="001E6D38">
        <w:instrText xml:space="preserve"> \* MERGEFORMAT </w:instrText>
      </w:r>
      <w:r w:rsidRPr="001E6D38">
        <w:fldChar w:fldCharType="separate"/>
      </w:r>
      <w:r w:rsidR="002A7BC0">
        <w:t>Table 1</w:t>
      </w:r>
      <w:r w:rsidRPr="001E6D38">
        <w:fldChar w:fldCharType="end"/>
      </w:r>
      <w:r w:rsidRPr="001E6D38">
        <w:t>.</w:t>
      </w:r>
    </w:p>
    <w:p w14:paraId="36B5DE7E" w14:textId="77777777" w:rsidR="00C83A04" w:rsidRPr="000F539D" w:rsidRDefault="00C83A04" w:rsidP="00C83A04">
      <w:pPr>
        <w:pStyle w:val="Caption"/>
        <w:keepNext/>
        <w:ind w:left="0"/>
      </w:pPr>
      <w:bookmarkStart w:id="3" w:name="_Ref396323603"/>
      <w:proofErr w:type="gramStart"/>
      <w:r>
        <w:t xml:space="preserve">Table </w:t>
      </w:r>
      <w:r w:rsidR="0059426A">
        <w:fldChar w:fldCharType="begin"/>
      </w:r>
      <w:r w:rsidR="0059426A">
        <w:instrText xml:space="preserve"> SEQ Table \* ARABIC </w:instrText>
      </w:r>
      <w:r w:rsidR="0059426A">
        <w:fldChar w:fldCharType="separate"/>
      </w:r>
      <w:r w:rsidR="002A7BC0">
        <w:rPr>
          <w:noProof/>
        </w:rPr>
        <w:t>1</w:t>
      </w:r>
      <w:r w:rsidR="0059426A">
        <w:rPr>
          <w:noProof/>
        </w:rPr>
        <w:fldChar w:fldCharType="end"/>
      </w:r>
      <w:bookmarkEnd w:id="3"/>
      <w:r>
        <w:t>: Parameters for the system simulations.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0"/>
        <w:gridCol w:w="2268"/>
      </w:tblGrid>
      <w:tr w:rsidR="000F539D" w14:paraId="7543C3A1" w14:textId="77777777" w:rsidTr="001E6D38">
        <w:trPr>
          <w:jc w:val="center"/>
        </w:trPr>
        <w:tc>
          <w:tcPr>
            <w:tcW w:w="2260" w:type="dxa"/>
            <w:shd w:val="clear" w:color="auto" w:fill="DBE5F1"/>
            <w:tcMar>
              <w:top w:w="0" w:type="dxa"/>
              <w:left w:w="108" w:type="dxa"/>
              <w:bottom w:w="0" w:type="dxa"/>
              <w:right w:w="108" w:type="dxa"/>
            </w:tcMar>
            <w:vAlign w:val="center"/>
            <w:hideMark/>
          </w:tcPr>
          <w:p w14:paraId="5F068957" w14:textId="77777777" w:rsidR="000F539D" w:rsidRDefault="000F539D" w:rsidP="00C83A04">
            <w:pPr>
              <w:keepNext/>
              <w:spacing w:after="0"/>
              <w:rPr>
                <w:rFonts w:ascii="Calibri" w:hAnsi="Calibri" w:cs="Calibri"/>
              </w:rPr>
            </w:pPr>
            <w:r>
              <w:t>Parameter</w:t>
            </w:r>
          </w:p>
        </w:tc>
        <w:tc>
          <w:tcPr>
            <w:tcW w:w="2268" w:type="dxa"/>
            <w:shd w:val="clear" w:color="auto" w:fill="DBE5F1"/>
            <w:tcMar>
              <w:top w:w="0" w:type="dxa"/>
              <w:left w:w="108" w:type="dxa"/>
              <w:bottom w:w="0" w:type="dxa"/>
              <w:right w:w="108" w:type="dxa"/>
            </w:tcMar>
            <w:vAlign w:val="center"/>
            <w:hideMark/>
          </w:tcPr>
          <w:p w14:paraId="18CFC1A0" w14:textId="77777777" w:rsidR="000F539D" w:rsidRDefault="000F539D" w:rsidP="00C83A04">
            <w:pPr>
              <w:keepNext/>
              <w:spacing w:after="0"/>
              <w:rPr>
                <w:rFonts w:ascii="Calibri" w:hAnsi="Calibri" w:cs="Calibri"/>
              </w:rPr>
            </w:pPr>
            <w:r>
              <w:t>Value</w:t>
            </w:r>
          </w:p>
        </w:tc>
      </w:tr>
      <w:tr w:rsidR="000F539D" w14:paraId="19003DA0" w14:textId="77777777" w:rsidTr="001E6D38">
        <w:trPr>
          <w:jc w:val="center"/>
        </w:trPr>
        <w:tc>
          <w:tcPr>
            <w:tcW w:w="2260" w:type="dxa"/>
            <w:tcMar>
              <w:top w:w="0" w:type="dxa"/>
              <w:left w:w="108" w:type="dxa"/>
              <w:bottom w:w="0" w:type="dxa"/>
              <w:right w:w="108" w:type="dxa"/>
            </w:tcMar>
            <w:vAlign w:val="center"/>
            <w:hideMark/>
          </w:tcPr>
          <w:p w14:paraId="43B4F3A5" w14:textId="77777777" w:rsidR="000F539D" w:rsidRDefault="000F539D" w:rsidP="00C83A04">
            <w:pPr>
              <w:keepNext/>
              <w:spacing w:after="0"/>
              <w:rPr>
                <w:rFonts w:ascii="Calibri" w:hAnsi="Calibri" w:cs="Calibri"/>
              </w:rPr>
            </w:pPr>
            <w:r>
              <w:t>Cell radius</w:t>
            </w:r>
          </w:p>
        </w:tc>
        <w:tc>
          <w:tcPr>
            <w:tcW w:w="2268" w:type="dxa"/>
            <w:tcMar>
              <w:top w:w="0" w:type="dxa"/>
              <w:left w:w="108" w:type="dxa"/>
              <w:bottom w:w="0" w:type="dxa"/>
              <w:right w:w="108" w:type="dxa"/>
            </w:tcMar>
            <w:vAlign w:val="center"/>
            <w:hideMark/>
          </w:tcPr>
          <w:p w14:paraId="0FF3DA09" w14:textId="77777777" w:rsidR="000F539D" w:rsidRDefault="000F539D" w:rsidP="00C83A04">
            <w:pPr>
              <w:keepNext/>
              <w:spacing w:after="0"/>
              <w:rPr>
                <w:rFonts w:ascii="Calibri" w:hAnsi="Calibri" w:cs="Calibri"/>
              </w:rPr>
            </w:pPr>
            <w:r>
              <w:t>300m</w:t>
            </w:r>
          </w:p>
        </w:tc>
      </w:tr>
      <w:tr w:rsidR="000F539D" w14:paraId="7E27FA49" w14:textId="77777777" w:rsidTr="001E6D38">
        <w:trPr>
          <w:jc w:val="center"/>
        </w:trPr>
        <w:tc>
          <w:tcPr>
            <w:tcW w:w="2260" w:type="dxa"/>
            <w:tcMar>
              <w:top w:w="0" w:type="dxa"/>
              <w:left w:w="108" w:type="dxa"/>
              <w:bottom w:w="0" w:type="dxa"/>
              <w:right w:w="108" w:type="dxa"/>
            </w:tcMar>
            <w:vAlign w:val="center"/>
            <w:hideMark/>
          </w:tcPr>
          <w:p w14:paraId="3948D900" w14:textId="77777777" w:rsidR="000F539D" w:rsidRDefault="000F539D" w:rsidP="00C83A04">
            <w:pPr>
              <w:keepNext/>
              <w:spacing w:after="0"/>
              <w:rPr>
                <w:rFonts w:ascii="Calibri" w:hAnsi="Calibri" w:cs="Calibri"/>
              </w:rPr>
            </w:pPr>
            <w:r>
              <w:t>Frequency re-use</w:t>
            </w:r>
          </w:p>
        </w:tc>
        <w:tc>
          <w:tcPr>
            <w:tcW w:w="2268" w:type="dxa"/>
            <w:tcMar>
              <w:top w:w="0" w:type="dxa"/>
              <w:left w:w="108" w:type="dxa"/>
              <w:bottom w:w="0" w:type="dxa"/>
              <w:right w:w="108" w:type="dxa"/>
            </w:tcMar>
            <w:vAlign w:val="center"/>
            <w:hideMark/>
          </w:tcPr>
          <w:p w14:paraId="3AB99F7B" w14:textId="77777777" w:rsidR="000F539D" w:rsidRDefault="000F539D" w:rsidP="00C83A04">
            <w:pPr>
              <w:keepNext/>
              <w:spacing w:after="0"/>
              <w:rPr>
                <w:rFonts w:ascii="Calibri" w:hAnsi="Calibri" w:cs="Calibri"/>
              </w:rPr>
            </w:pPr>
            <w:r>
              <w:t>1/1</w:t>
            </w:r>
          </w:p>
        </w:tc>
      </w:tr>
      <w:tr w:rsidR="000F539D" w14:paraId="66D81694" w14:textId="77777777" w:rsidTr="001E6D38">
        <w:trPr>
          <w:jc w:val="center"/>
        </w:trPr>
        <w:tc>
          <w:tcPr>
            <w:tcW w:w="2260" w:type="dxa"/>
            <w:tcMar>
              <w:top w:w="0" w:type="dxa"/>
              <w:left w:w="108" w:type="dxa"/>
              <w:bottom w:w="0" w:type="dxa"/>
              <w:right w:w="108" w:type="dxa"/>
            </w:tcMar>
            <w:vAlign w:val="center"/>
            <w:hideMark/>
          </w:tcPr>
          <w:p w14:paraId="5EB9C318" w14:textId="77777777" w:rsidR="000F539D" w:rsidRDefault="000F539D" w:rsidP="00C83A04">
            <w:pPr>
              <w:keepNext/>
              <w:spacing w:after="0"/>
              <w:rPr>
                <w:rFonts w:ascii="Calibri" w:hAnsi="Calibri" w:cs="Calibri"/>
              </w:rPr>
            </w:pPr>
            <w:r>
              <w:t>#TRX</w:t>
            </w:r>
          </w:p>
        </w:tc>
        <w:tc>
          <w:tcPr>
            <w:tcW w:w="2268" w:type="dxa"/>
            <w:tcMar>
              <w:top w:w="0" w:type="dxa"/>
              <w:left w:w="108" w:type="dxa"/>
              <w:bottom w:w="0" w:type="dxa"/>
              <w:right w:w="108" w:type="dxa"/>
            </w:tcMar>
            <w:vAlign w:val="center"/>
            <w:hideMark/>
          </w:tcPr>
          <w:p w14:paraId="177E643C" w14:textId="77777777" w:rsidR="000F539D" w:rsidRDefault="000F539D" w:rsidP="00C83A04">
            <w:pPr>
              <w:keepNext/>
              <w:spacing w:after="0"/>
              <w:rPr>
                <w:rFonts w:ascii="Calibri" w:hAnsi="Calibri" w:cs="Calibri"/>
              </w:rPr>
            </w:pPr>
            <w:r>
              <w:t>3</w:t>
            </w:r>
          </w:p>
        </w:tc>
      </w:tr>
      <w:tr w:rsidR="000F539D" w14:paraId="371264CF" w14:textId="77777777" w:rsidTr="001E6D38">
        <w:trPr>
          <w:jc w:val="center"/>
        </w:trPr>
        <w:tc>
          <w:tcPr>
            <w:tcW w:w="2260" w:type="dxa"/>
            <w:tcMar>
              <w:top w:w="0" w:type="dxa"/>
              <w:left w:w="108" w:type="dxa"/>
              <w:bottom w:w="0" w:type="dxa"/>
              <w:right w:w="108" w:type="dxa"/>
            </w:tcMar>
            <w:vAlign w:val="center"/>
            <w:hideMark/>
          </w:tcPr>
          <w:p w14:paraId="0AE7223B" w14:textId="77777777" w:rsidR="000F539D" w:rsidRDefault="000F539D" w:rsidP="00C83A04">
            <w:pPr>
              <w:keepNext/>
              <w:spacing w:after="0"/>
              <w:rPr>
                <w:rFonts w:ascii="Calibri" w:hAnsi="Calibri" w:cs="Calibri"/>
              </w:rPr>
            </w:pPr>
            <w:r>
              <w:t>#Frequencies</w:t>
            </w:r>
          </w:p>
        </w:tc>
        <w:tc>
          <w:tcPr>
            <w:tcW w:w="2268" w:type="dxa"/>
            <w:tcMar>
              <w:top w:w="0" w:type="dxa"/>
              <w:left w:w="108" w:type="dxa"/>
              <w:bottom w:w="0" w:type="dxa"/>
              <w:right w:w="108" w:type="dxa"/>
            </w:tcMar>
            <w:vAlign w:val="center"/>
          </w:tcPr>
          <w:p w14:paraId="6018EB94" w14:textId="20B143BA" w:rsidR="000F539D" w:rsidRDefault="00441BC0" w:rsidP="00C83A04">
            <w:pPr>
              <w:keepNext/>
              <w:spacing w:after="0"/>
              <w:rPr>
                <w:rFonts w:ascii="Calibri" w:hAnsi="Calibri" w:cs="Calibri"/>
              </w:rPr>
            </w:pPr>
            <w:r w:rsidRPr="00AF08B4">
              <w:rPr>
                <w:rFonts w:ascii="Calibri" w:hAnsi="Calibri" w:cs="Calibri"/>
              </w:rPr>
              <w:t>9</w:t>
            </w:r>
          </w:p>
        </w:tc>
      </w:tr>
      <w:tr w:rsidR="000F539D" w14:paraId="504BCFC3" w14:textId="77777777" w:rsidTr="001E6D38">
        <w:trPr>
          <w:jc w:val="center"/>
        </w:trPr>
        <w:tc>
          <w:tcPr>
            <w:tcW w:w="2260" w:type="dxa"/>
            <w:tcMar>
              <w:top w:w="0" w:type="dxa"/>
              <w:left w:w="108" w:type="dxa"/>
              <w:bottom w:w="0" w:type="dxa"/>
              <w:right w:w="108" w:type="dxa"/>
            </w:tcMar>
            <w:vAlign w:val="center"/>
            <w:hideMark/>
          </w:tcPr>
          <w:p w14:paraId="57B21D15" w14:textId="3021EDEC" w:rsidR="000F539D" w:rsidRDefault="00FB42C3" w:rsidP="00C83A04">
            <w:pPr>
              <w:keepNext/>
              <w:spacing w:after="0"/>
              <w:rPr>
                <w:rFonts w:ascii="Calibri" w:hAnsi="Calibri" w:cs="Calibri"/>
              </w:rPr>
            </w:pPr>
            <w:proofErr w:type="spellStart"/>
            <w:r>
              <w:t>Erlang</w:t>
            </w:r>
            <w:proofErr w:type="spellEnd"/>
            <w:r>
              <w:t xml:space="preserve"> </w:t>
            </w:r>
            <w:r w:rsidR="000F539D">
              <w:t xml:space="preserve">per </w:t>
            </w:r>
            <w:r w:rsidR="00EB3DE8">
              <w:t>cell</w:t>
            </w:r>
          </w:p>
        </w:tc>
        <w:tc>
          <w:tcPr>
            <w:tcW w:w="2268" w:type="dxa"/>
            <w:tcMar>
              <w:top w:w="0" w:type="dxa"/>
              <w:left w:w="108" w:type="dxa"/>
              <w:bottom w:w="0" w:type="dxa"/>
              <w:right w:w="108" w:type="dxa"/>
            </w:tcMar>
            <w:vAlign w:val="center"/>
            <w:hideMark/>
          </w:tcPr>
          <w:p w14:paraId="67129E32" w14:textId="77777777" w:rsidR="000F539D" w:rsidRDefault="000F539D" w:rsidP="00C83A04">
            <w:pPr>
              <w:keepNext/>
              <w:spacing w:after="0"/>
              <w:rPr>
                <w:rFonts w:ascii="Calibri" w:hAnsi="Calibri" w:cs="Calibri"/>
              </w:rPr>
            </w:pPr>
            <w:r>
              <w:t>14.3</w:t>
            </w:r>
          </w:p>
        </w:tc>
      </w:tr>
      <w:tr w:rsidR="000F539D" w14:paraId="4891F9AD" w14:textId="77777777" w:rsidTr="001E6D38">
        <w:trPr>
          <w:jc w:val="center"/>
        </w:trPr>
        <w:tc>
          <w:tcPr>
            <w:tcW w:w="2260" w:type="dxa"/>
            <w:tcMar>
              <w:top w:w="0" w:type="dxa"/>
              <w:left w:w="108" w:type="dxa"/>
              <w:bottom w:w="0" w:type="dxa"/>
              <w:right w:w="108" w:type="dxa"/>
            </w:tcMar>
            <w:vAlign w:val="center"/>
            <w:hideMark/>
          </w:tcPr>
          <w:p w14:paraId="076E3F63" w14:textId="77777777" w:rsidR="000F539D" w:rsidRDefault="000F539D" w:rsidP="00C83A04">
            <w:pPr>
              <w:keepNext/>
              <w:spacing w:after="0"/>
              <w:rPr>
                <w:rFonts w:ascii="Calibri" w:hAnsi="Calibri" w:cs="Calibri"/>
              </w:rPr>
            </w:pPr>
            <w:r>
              <w:t>Power control</w:t>
            </w:r>
          </w:p>
        </w:tc>
        <w:tc>
          <w:tcPr>
            <w:tcW w:w="2268" w:type="dxa"/>
            <w:tcMar>
              <w:top w:w="0" w:type="dxa"/>
              <w:left w:w="108" w:type="dxa"/>
              <w:bottom w:w="0" w:type="dxa"/>
              <w:right w:w="108" w:type="dxa"/>
            </w:tcMar>
            <w:vAlign w:val="center"/>
            <w:hideMark/>
          </w:tcPr>
          <w:p w14:paraId="2B8280BF" w14:textId="77777777" w:rsidR="000F539D" w:rsidRDefault="000F539D" w:rsidP="00C83A04">
            <w:pPr>
              <w:keepNext/>
              <w:spacing w:after="0"/>
              <w:rPr>
                <w:rFonts w:ascii="Calibri" w:hAnsi="Calibri" w:cs="Calibri"/>
              </w:rPr>
            </w:pPr>
            <w:r>
              <w:t>ON</w:t>
            </w:r>
          </w:p>
        </w:tc>
      </w:tr>
      <w:tr w:rsidR="000F539D" w14:paraId="02544AF4" w14:textId="77777777" w:rsidTr="001E6D38">
        <w:trPr>
          <w:jc w:val="center"/>
        </w:trPr>
        <w:tc>
          <w:tcPr>
            <w:tcW w:w="2260" w:type="dxa"/>
            <w:tcMar>
              <w:top w:w="0" w:type="dxa"/>
              <w:left w:w="108" w:type="dxa"/>
              <w:bottom w:w="0" w:type="dxa"/>
              <w:right w:w="108" w:type="dxa"/>
            </w:tcMar>
            <w:vAlign w:val="center"/>
            <w:hideMark/>
          </w:tcPr>
          <w:p w14:paraId="232436F8" w14:textId="376CDBA7" w:rsidR="000F539D" w:rsidRDefault="000F539D" w:rsidP="00C83A04">
            <w:pPr>
              <w:keepNext/>
              <w:spacing w:after="0"/>
              <w:rPr>
                <w:rFonts w:ascii="Calibri" w:hAnsi="Calibri" w:cs="Calibri"/>
              </w:rPr>
            </w:pPr>
            <w:r>
              <w:t>Speech codec</w:t>
            </w:r>
          </w:p>
        </w:tc>
        <w:tc>
          <w:tcPr>
            <w:tcW w:w="2268" w:type="dxa"/>
            <w:tcMar>
              <w:top w:w="0" w:type="dxa"/>
              <w:left w:w="108" w:type="dxa"/>
              <w:bottom w:w="0" w:type="dxa"/>
              <w:right w:w="108" w:type="dxa"/>
            </w:tcMar>
            <w:vAlign w:val="center"/>
            <w:hideMark/>
          </w:tcPr>
          <w:p w14:paraId="3F5D88C2" w14:textId="0202F3FA" w:rsidR="000F539D" w:rsidRDefault="000F539D" w:rsidP="00C83A04">
            <w:pPr>
              <w:keepNext/>
              <w:spacing w:after="0"/>
              <w:rPr>
                <w:rFonts w:ascii="Calibri" w:hAnsi="Calibri" w:cs="Calibri"/>
              </w:rPr>
            </w:pPr>
            <w:r>
              <w:t>AFS5.90</w:t>
            </w:r>
          </w:p>
        </w:tc>
      </w:tr>
      <w:tr w:rsidR="000F539D" w14:paraId="723216C3" w14:textId="77777777" w:rsidTr="001E6D38">
        <w:trPr>
          <w:jc w:val="center"/>
        </w:trPr>
        <w:tc>
          <w:tcPr>
            <w:tcW w:w="2260" w:type="dxa"/>
            <w:tcMar>
              <w:top w:w="0" w:type="dxa"/>
              <w:left w:w="108" w:type="dxa"/>
              <w:bottom w:w="0" w:type="dxa"/>
              <w:right w:w="108" w:type="dxa"/>
            </w:tcMar>
            <w:vAlign w:val="center"/>
            <w:hideMark/>
          </w:tcPr>
          <w:p w14:paraId="76CC2943" w14:textId="77777777" w:rsidR="000F539D" w:rsidRDefault="000F539D" w:rsidP="00C83A04">
            <w:pPr>
              <w:keepNext/>
              <w:spacing w:after="0"/>
              <w:rPr>
                <w:rFonts w:ascii="Calibri" w:hAnsi="Calibri" w:cs="Calibri"/>
              </w:rPr>
            </w:pPr>
            <w:r>
              <w:t>DTX</w:t>
            </w:r>
          </w:p>
        </w:tc>
        <w:tc>
          <w:tcPr>
            <w:tcW w:w="2268" w:type="dxa"/>
            <w:tcMar>
              <w:top w:w="0" w:type="dxa"/>
              <w:left w:w="108" w:type="dxa"/>
              <w:bottom w:w="0" w:type="dxa"/>
              <w:right w:w="108" w:type="dxa"/>
            </w:tcMar>
            <w:vAlign w:val="center"/>
            <w:hideMark/>
          </w:tcPr>
          <w:p w14:paraId="1157D925" w14:textId="77777777" w:rsidR="000F539D" w:rsidRDefault="000F539D" w:rsidP="00C83A04">
            <w:pPr>
              <w:keepNext/>
              <w:spacing w:after="0"/>
              <w:rPr>
                <w:rFonts w:ascii="Calibri" w:hAnsi="Calibri" w:cs="Calibri"/>
              </w:rPr>
            </w:pPr>
            <w:r>
              <w:t>ON</w:t>
            </w:r>
          </w:p>
        </w:tc>
      </w:tr>
      <w:tr w:rsidR="000F539D" w14:paraId="1CBC1EE6" w14:textId="77777777" w:rsidTr="001E6D38">
        <w:trPr>
          <w:jc w:val="center"/>
        </w:trPr>
        <w:tc>
          <w:tcPr>
            <w:tcW w:w="2260" w:type="dxa"/>
            <w:tcMar>
              <w:top w:w="0" w:type="dxa"/>
              <w:left w:w="108" w:type="dxa"/>
              <w:bottom w:w="0" w:type="dxa"/>
              <w:right w:w="108" w:type="dxa"/>
            </w:tcMar>
            <w:vAlign w:val="center"/>
            <w:hideMark/>
          </w:tcPr>
          <w:p w14:paraId="06A02B22" w14:textId="663376B3" w:rsidR="000F539D" w:rsidRDefault="000F539D" w:rsidP="00C83A04">
            <w:pPr>
              <w:keepNext/>
              <w:spacing w:after="0"/>
              <w:rPr>
                <w:rFonts w:ascii="Calibri" w:hAnsi="Calibri" w:cs="Calibri"/>
              </w:rPr>
            </w:pPr>
            <w:r>
              <w:t>Speech activity factor</w:t>
            </w:r>
          </w:p>
        </w:tc>
        <w:tc>
          <w:tcPr>
            <w:tcW w:w="2268" w:type="dxa"/>
            <w:tcMar>
              <w:top w:w="0" w:type="dxa"/>
              <w:left w:w="108" w:type="dxa"/>
              <w:bottom w:w="0" w:type="dxa"/>
              <w:right w:w="108" w:type="dxa"/>
            </w:tcMar>
            <w:vAlign w:val="center"/>
            <w:hideMark/>
          </w:tcPr>
          <w:p w14:paraId="49A3673B" w14:textId="77777777" w:rsidR="000F539D" w:rsidRDefault="000F539D" w:rsidP="00C83A04">
            <w:pPr>
              <w:keepNext/>
              <w:spacing w:after="0"/>
              <w:rPr>
                <w:rFonts w:ascii="Calibri" w:hAnsi="Calibri" w:cs="Calibri"/>
              </w:rPr>
            </w:pPr>
            <w:r>
              <w:t>0.6</w:t>
            </w:r>
          </w:p>
        </w:tc>
      </w:tr>
      <w:tr w:rsidR="000F539D" w14:paraId="65117010" w14:textId="77777777" w:rsidTr="001E6D38">
        <w:trPr>
          <w:jc w:val="center"/>
        </w:trPr>
        <w:tc>
          <w:tcPr>
            <w:tcW w:w="2260" w:type="dxa"/>
            <w:tcMar>
              <w:top w:w="0" w:type="dxa"/>
              <w:left w:w="108" w:type="dxa"/>
              <w:bottom w:w="0" w:type="dxa"/>
              <w:right w:w="108" w:type="dxa"/>
            </w:tcMar>
            <w:vAlign w:val="center"/>
            <w:hideMark/>
          </w:tcPr>
          <w:p w14:paraId="77FA1692" w14:textId="77777777" w:rsidR="000F539D" w:rsidRDefault="000F539D" w:rsidP="00C83A04">
            <w:pPr>
              <w:keepNext/>
              <w:spacing w:after="0"/>
              <w:rPr>
                <w:rFonts w:ascii="Calibri" w:hAnsi="Calibri" w:cs="Calibri"/>
              </w:rPr>
            </w:pPr>
            <w:r>
              <w:t>#cells in system</w:t>
            </w:r>
          </w:p>
        </w:tc>
        <w:tc>
          <w:tcPr>
            <w:tcW w:w="2268" w:type="dxa"/>
            <w:tcMar>
              <w:top w:w="0" w:type="dxa"/>
              <w:left w:w="108" w:type="dxa"/>
              <w:bottom w:w="0" w:type="dxa"/>
              <w:right w:w="108" w:type="dxa"/>
            </w:tcMar>
            <w:vAlign w:val="center"/>
            <w:hideMark/>
          </w:tcPr>
          <w:p w14:paraId="5040E802" w14:textId="77777777" w:rsidR="000F539D" w:rsidRDefault="000F539D" w:rsidP="00C83A04">
            <w:pPr>
              <w:keepNext/>
              <w:spacing w:after="0"/>
              <w:rPr>
                <w:rFonts w:ascii="Calibri" w:hAnsi="Calibri" w:cs="Calibri"/>
              </w:rPr>
            </w:pPr>
            <w:r>
              <w:t>147</w:t>
            </w:r>
          </w:p>
        </w:tc>
      </w:tr>
      <w:tr w:rsidR="009B77E3" w14:paraId="12AC19EB" w14:textId="77777777" w:rsidTr="001E6D38">
        <w:trPr>
          <w:jc w:val="center"/>
        </w:trPr>
        <w:tc>
          <w:tcPr>
            <w:tcW w:w="2260" w:type="dxa"/>
            <w:tcMar>
              <w:top w:w="0" w:type="dxa"/>
              <w:left w:w="108" w:type="dxa"/>
              <w:bottom w:w="0" w:type="dxa"/>
              <w:right w:w="108" w:type="dxa"/>
            </w:tcMar>
            <w:vAlign w:val="center"/>
          </w:tcPr>
          <w:p w14:paraId="6D9515C6" w14:textId="6F6AFFEB" w:rsidR="009B77E3" w:rsidRDefault="009B77E3" w:rsidP="00C83A04">
            <w:pPr>
              <w:keepNext/>
              <w:spacing w:after="0"/>
            </w:pPr>
            <w:proofErr w:type="spellStart"/>
            <w:r>
              <w:t>Pathloss</w:t>
            </w:r>
            <w:proofErr w:type="spellEnd"/>
            <w:r>
              <w:t xml:space="preserve"> model</w:t>
            </w:r>
          </w:p>
        </w:tc>
        <w:tc>
          <w:tcPr>
            <w:tcW w:w="2268" w:type="dxa"/>
            <w:tcMar>
              <w:top w:w="0" w:type="dxa"/>
              <w:left w:w="108" w:type="dxa"/>
              <w:bottom w:w="0" w:type="dxa"/>
              <w:right w:w="108" w:type="dxa"/>
            </w:tcMar>
            <w:vAlign w:val="center"/>
          </w:tcPr>
          <w:p w14:paraId="0B713FE0" w14:textId="55255073" w:rsidR="009B77E3" w:rsidRDefault="009B77E3" w:rsidP="00C83A04">
            <w:pPr>
              <w:keepNext/>
              <w:spacing w:after="0"/>
            </w:pPr>
            <w:r>
              <w:t>Okumura-</w:t>
            </w:r>
            <w:proofErr w:type="spellStart"/>
            <w:r>
              <w:t>Hata</w:t>
            </w:r>
            <w:proofErr w:type="spellEnd"/>
          </w:p>
        </w:tc>
      </w:tr>
      <w:tr w:rsidR="009B77E3" w:rsidRPr="00890492" w14:paraId="4FC529E6" w14:textId="77777777" w:rsidTr="001E6D38">
        <w:trPr>
          <w:jc w:val="center"/>
        </w:trPr>
        <w:tc>
          <w:tcPr>
            <w:tcW w:w="2260" w:type="dxa"/>
            <w:tcMar>
              <w:top w:w="0" w:type="dxa"/>
              <w:left w:w="108" w:type="dxa"/>
              <w:bottom w:w="0" w:type="dxa"/>
              <w:right w:w="108" w:type="dxa"/>
            </w:tcMar>
            <w:vAlign w:val="center"/>
          </w:tcPr>
          <w:p w14:paraId="2A4FF2FD" w14:textId="2F69E495" w:rsidR="009B77E3" w:rsidRDefault="009B77E3" w:rsidP="009B77E3">
            <w:pPr>
              <w:keepNext/>
              <w:spacing w:after="0"/>
            </w:pPr>
            <w:r>
              <w:t>Shadow fading</w:t>
            </w:r>
          </w:p>
        </w:tc>
        <w:tc>
          <w:tcPr>
            <w:tcW w:w="2268" w:type="dxa"/>
            <w:tcMar>
              <w:top w:w="0" w:type="dxa"/>
              <w:left w:w="108" w:type="dxa"/>
              <w:bottom w:w="0" w:type="dxa"/>
              <w:right w:w="108" w:type="dxa"/>
            </w:tcMar>
            <w:vAlign w:val="center"/>
          </w:tcPr>
          <w:p w14:paraId="58299EFD" w14:textId="4B7FEF41" w:rsidR="009B77E3" w:rsidRPr="00DC642A" w:rsidRDefault="009B77E3" w:rsidP="009B77E3">
            <w:pPr>
              <w:keepNext/>
              <w:spacing w:after="0"/>
              <w:rPr>
                <w:lang w:val="sv-SE"/>
              </w:rPr>
            </w:pPr>
            <w:r w:rsidRPr="00DC642A">
              <w:rPr>
                <w:lang w:val="sv-SE"/>
              </w:rPr>
              <w:t xml:space="preserve">Log-normal, standard deviation = </w:t>
            </w:r>
            <w:r w:rsidR="00441BC0" w:rsidRPr="00AF08B4">
              <w:rPr>
                <w:lang w:val="sv-SE"/>
              </w:rPr>
              <w:t>8</w:t>
            </w:r>
            <w:r w:rsidRPr="00DC642A">
              <w:rPr>
                <w:lang w:val="sv-SE"/>
              </w:rPr>
              <w:t xml:space="preserve"> dB</w:t>
            </w:r>
          </w:p>
        </w:tc>
      </w:tr>
    </w:tbl>
    <w:p w14:paraId="1A8AE859" w14:textId="5E006CA1" w:rsidR="00C15842" w:rsidRDefault="00C15842" w:rsidP="005234C8">
      <w:pPr>
        <w:pStyle w:val="Heading3"/>
      </w:pPr>
      <w:r>
        <w:t>Interferer strength</w:t>
      </w:r>
    </w:p>
    <w:p w14:paraId="5E18934D" w14:textId="48A936A5" w:rsidR="00DC642A" w:rsidRDefault="00DC642A" w:rsidP="00DC642A">
      <w:pPr>
        <w:pStyle w:val="BodyText"/>
      </w:pPr>
      <w:r>
        <w:t>The strength of the carrier and the two strongest CCI interferers, the two strongest ACI+ interferers and the two strongest ACI- interferers are logged for each transmitted burst in the system. The statistics are binned based on the C/</w:t>
      </w:r>
      <w:proofErr w:type="spellStart"/>
      <w:proofErr w:type="gramStart"/>
      <w:r>
        <w:t>I</w:t>
      </w:r>
      <w:r w:rsidRPr="00DC642A">
        <w:rPr>
          <w:vertAlign w:val="subscript"/>
        </w:rPr>
        <w:t>tot</w:t>
      </w:r>
      <w:proofErr w:type="spellEnd"/>
      <w:r w:rsidR="00B931D2">
        <w:rPr>
          <w:vertAlign w:val="subscript"/>
        </w:rPr>
        <w:t xml:space="preserve">  </w:t>
      </w:r>
      <w:r w:rsidR="00B931D2">
        <w:t>(</w:t>
      </w:r>
      <w:proofErr w:type="gramEnd"/>
      <w:r w:rsidR="00B931D2">
        <w:t xml:space="preserve">where </w:t>
      </w:r>
      <w:proofErr w:type="spellStart"/>
      <w:r w:rsidR="00B931D2">
        <w:t>I</w:t>
      </w:r>
      <w:r w:rsidR="00B931D2" w:rsidRPr="00DC642A">
        <w:rPr>
          <w:vertAlign w:val="subscript"/>
        </w:rPr>
        <w:t>tot</w:t>
      </w:r>
      <w:proofErr w:type="spellEnd"/>
      <w:r w:rsidR="00B931D2">
        <w:t xml:space="preserve"> is the total interferer energy)</w:t>
      </w:r>
      <w:r w:rsidR="00964DB7">
        <w:t xml:space="preserve"> before fast fading</w:t>
      </w:r>
      <w:r w:rsidR="00181434">
        <w:t xml:space="preserve">. </w:t>
      </w:r>
      <w:r w:rsidR="00F90903">
        <w:t>For a given C/</w:t>
      </w:r>
      <w:proofErr w:type="spellStart"/>
      <w:r w:rsidR="00F90903">
        <w:t>I</w:t>
      </w:r>
      <w:r w:rsidR="00F90903" w:rsidRPr="00DC642A">
        <w:rPr>
          <w:vertAlign w:val="subscript"/>
        </w:rPr>
        <w:t>tot</w:t>
      </w:r>
      <w:proofErr w:type="spellEnd"/>
      <w:r w:rsidR="00F90903">
        <w:t xml:space="preserve">, the median </w:t>
      </w:r>
      <w:r w:rsidR="00B931D2">
        <w:t>strength</w:t>
      </w:r>
      <w:r w:rsidR="00F90903">
        <w:t xml:space="preserve"> of each of the interferers is stored. </w:t>
      </w:r>
      <w:r w:rsidR="00181434">
        <w:t>This way, a C/I-dependent interferer strength profile</w:t>
      </w:r>
      <w:r>
        <w:t xml:space="preserve"> </w:t>
      </w:r>
      <w:r w:rsidR="00181434">
        <w:t xml:space="preserve">is </w:t>
      </w:r>
      <w:r>
        <w:t>derived</w:t>
      </w:r>
      <w:r w:rsidR="00181434">
        <w:t>.</w:t>
      </w:r>
    </w:p>
    <w:p w14:paraId="6A2A5E2C" w14:textId="696A3B5E" w:rsidR="00CC052F" w:rsidRDefault="00181434" w:rsidP="00DC642A">
      <w:pPr>
        <w:pStyle w:val="BodyText"/>
      </w:pPr>
      <w:r>
        <w:t xml:space="preserve">The results are shown in </w:t>
      </w:r>
      <w:r>
        <w:fldChar w:fldCharType="begin"/>
      </w:r>
      <w:r>
        <w:instrText xml:space="preserve"> REF _Ref396324807 \h </w:instrText>
      </w:r>
      <w:r>
        <w:fldChar w:fldCharType="separate"/>
      </w:r>
      <w:r w:rsidR="002A7BC0">
        <w:t xml:space="preserve">Figure </w:t>
      </w:r>
      <w:r w:rsidR="002A7BC0">
        <w:rPr>
          <w:noProof/>
        </w:rPr>
        <w:t>2</w:t>
      </w:r>
      <w:r>
        <w:fldChar w:fldCharType="end"/>
      </w:r>
      <w:r>
        <w:t xml:space="preserve"> </w:t>
      </w:r>
      <w:r w:rsidR="00CC052F">
        <w:t xml:space="preserve">and </w:t>
      </w:r>
      <w:r>
        <w:fldChar w:fldCharType="begin"/>
      </w:r>
      <w:r>
        <w:instrText xml:space="preserve"> REF _Ref396324809 \h </w:instrText>
      </w:r>
      <w:r>
        <w:fldChar w:fldCharType="separate"/>
      </w:r>
      <w:r w:rsidR="002A7BC0">
        <w:t xml:space="preserve">Figure </w:t>
      </w:r>
      <w:r w:rsidR="002A7BC0">
        <w:rPr>
          <w:noProof/>
        </w:rPr>
        <w:t>3</w:t>
      </w:r>
      <w:r>
        <w:fldChar w:fldCharType="end"/>
      </w:r>
      <w:r w:rsidR="00CC052F">
        <w:t xml:space="preserve"> for the uplink</w:t>
      </w:r>
      <w:r w:rsidR="00CC052F" w:rsidRPr="00CC052F">
        <w:t xml:space="preserve"> </w:t>
      </w:r>
      <w:r w:rsidR="00CC052F">
        <w:t>and for the downlink, respectively.</w:t>
      </w:r>
      <w:r w:rsidR="00B931D2">
        <w:t xml:space="preserve"> The individual interferer strengths as well as </w:t>
      </w:r>
      <w:proofErr w:type="spellStart"/>
      <w:r w:rsidR="00B931D2">
        <w:t>I</w:t>
      </w:r>
      <w:r w:rsidR="00B931D2" w:rsidRPr="00DC642A">
        <w:rPr>
          <w:vertAlign w:val="subscript"/>
        </w:rPr>
        <w:t>tot</w:t>
      </w:r>
      <w:proofErr w:type="spellEnd"/>
      <w:r w:rsidR="00B931D2">
        <w:t xml:space="preserve"> are defined after the RX </w:t>
      </w:r>
      <w:proofErr w:type="gramStart"/>
      <w:r w:rsidR="00B931D2">
        <w:t>filter</w:t>
      </w:r>
      <w:proofErr w:type="gramEnd"/>
      <w:r w:rsidR="00B931D2">
        <w:t xml:space="preserve"> assuming </w:t>
      </w:r>
      <w:r w:rsidR="000533C7">
        <w:t xml:space="preserve">an </w:t>
      </w:r>
      <w:r w:rsidR="00B931D2">
        <w:t xml:space="preserve">ACP of 18 </w:t>
      </w:r>
      <w:proofErr w:type="spellStart"/>
      <w:r w:rsidR="00B931D2">
        <w:t>dB.</w:t>
      </w:r>
      <w:proofErr w:type="spellEnd"/>
    </w:p>
    <w:p w14:paraId="75EADF55" w14:textId="153E19B4" w:rsidR="00181434" w:rsidRPr="00DC642A" w:rsidRDefault="00181434" w:rsidP="00DC642A">
      <w:pPr>
        <w:pStyle w:val="BodyText"/>
      </w:pPr>
      <w:r>
        <w:t xml:space="preserve">An interesting observation is that at low C/I levels, the interference is dominated by the strongest CCI (especially for downlink), whereas at higher C/I, the second strongest CCI and the ACIs </w:t>
      </w:r>
      <w:r w:rsidR="004C5413">
        <w:t>become</w:t>
      </w:r>
      <w:r>
        <w:t xml:space="preserve"> </w:t>
      </w:r>
      <w:r w:rsidR="004C5413">
        <w:t>increasingly</w:t>
      </w:r>
      <w:r>
        <w:t xml:space="preserve"> </w:t>
      </w:r>
      <w:r w:rsidR="00E30DB6">
        <w:t>prominent</w:t>
      </w:r>
      <w:r w:rsidR="008128BE">
        <w:t xml:space="preserve"> (i.e., closer in strength to the strongest CCI)</w:t>
      </w:r>
      <w:r>
        <w:t>.</w:t>
      </w:r>
    </w:p>
    <w:p w14:paraId="69F77D44" w14:textId="77777777" w:rsidR="00AB3AE1" w:rsidRPr="00AB3AE1" w:rsidRDefault="00AB3AE1" w:rsidP="00AB3AE1">
      <w:pPr>
        <w:pStyle w:val="BodyText"/>
      </w:pPr>
    </w:p>
    <w:p w14:paraId="0619A0E9" w14:textId="4215462C" w:rsidR="009267B8" w:rsidRDefault="00094308" w:rsidP="00677CCA">
      <w:pPr>
        <w:pStyle w:val="BodyText"/>
        <w:keepNext/>
        <w:jc w:val="center"/>
        <w:rPr>
          <w:lang w:eastAsia="ko-KR"/>
        </w:rPr>
      </w:pPr>
      <w:r>
        <w:rPr>
          <w:noProof/>
        </w:rPr>
        <w:lastRenderedPageBreak/>
        <w:drawing>
          <wp:inline distT="0" distB="0" distL="0" distR="0" wp14:anchorId="151F8EF6" wp14:editId="3118AC04">
            <wp:extent cx="4255200" cy="309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fStrengthsUl_18dBatt_new.png"/>
                    <pic:cNvPicPr/>
                  </pic:nvPicPr>
                  <pic:blipFill>
                    <a:blip r:embed="rId10">
                      <a:extLst>
                        <a:ext uri="{28A0092B-C50C-407E-A947-70E740481C1C}">
                          <a14:useLocalDpi xmlns:a14="http://schemas.microsoft.com/office/drawing/2010/main" val="0"/>
                        </a:ext>
                      </a:extLst>
                    </a:blip>
                    <a:stretch>
                      <a:fillRect/>
                    </a:stretch>
                  </pic:blipFill>
                  <pic:spPr>
                    <a:xfrm>
                      <a:off x="0" y="0"/>
                      <a:ext cx="4255200" cy="3092400"/>
                    </a:xfrm>
                    <a:prstGeom prst="rect">
                      <a:avLst/>
                    </a:prstGeom>
                  </pic:spPr>
                </pic:pic>
              </a:graphicData>
            </a:graphic>
          </wp:inline>
        </w:drawing>
      </w:r>
    </w:p>
    <w:p w14:paraId="08E8C657" w14:textId="25F0BE37" w:rsidR="009267B8" w:rsidRPr="009267B8" w:rsidRDefault="009267B8" w:rsidP="009267B8">
      <w:pPr>
        <w:pStyle w:val="Caption"/>
        <w:ind w:left="0"/>
        <w:rPr>
          <w:lang w:eastAsia="ko-KR"/>
        </w:rPr>
      </w:pPr>
      <w:bookmarkStart w:id="4" w:name="_Ref396324807"/>
      <w:r>
        <w:t xml:space="preserve">Figure </w:t>
      </w:r>
      <w:r w:rsidR="0059426A">
        <w:fldChar w:fldCharType="begin"/>
      </w:r>
      <w:r w:rsidR="0059426A">
        <w:instrText xml:space="preserve"> SEQ Figure \* ARABIC </w:instrText>
      </w:r>
      <w:r w:rsidR="0059426A">
        <w:fldChar w:fldCharType="separate"/>
      </w:r>
      <w:r w:rsidR="002A7BC0">
        <w:rPr>
          <w:noProof/>
        </w:rPr>
        <w:t>2</w:t>
      </w:r>
      <w:r w:rsidR="0059426A">
        <w:rPr>
          <w:noProof/>
        </w:rPr>
        <w:fldChar w:fldCharType="end"/>
      </w:r>
      <w:bookmarkEnd w:id="4"/>
      <w:r>
        <w:t>: Interferer strengths for uplink scenarios.</w:t>
      </w:r>
    </w:p>
    <w:p w14:paraId="0E003073" w14:textId="79D02B2D" w:rsidR="009267B8" w:rsidRDefault="00094308" w:rsidP="009267B8">
      <w:pPr>
        <w:pStyle w:val="BodyText"/>
        <w:jc w:val="center"/>
        <w:rPr>
          <w:lang w:eastAsia="ko-KR"/>
        </w:rPr>
      </w:pPr>
      <w:r>
        <w:rPr>
          <w:noProof/>
        </w:rPr>
        <w:drawing>
          <wp:inline distT="0" distB="0" distL="0" distR="0" wp14:anchorId="2DA4539E" wp14:editId="4E233BDA">
            <wp:extent cx="4255200" cy="3092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fStrengthsDl_18dBatt_new.png"/>
                    <pic:cNvPicPr/>
                  </pic:nvPicPr>
                  <pic:blipFill>
                    <a:blip r:embed="rId11">
                      <a:extLst>
                        <a:ext uri="{28A0092B-C50C-407E-A947-70E740481C1C}">
                          <a14:useLocalDpi xmlns:a14="http://schemas.microsoft.com/office/drawing/2010/main" val="0"/>
                        </a:ext>
                      </a:extLst>
                    </a:blip>
                    <a:stretch>
                      <a:fillRect/>
                    </a:stretch>
                  </pic:blipFill>
                  <pic:spPr>
                    <a:xfrm>
                      <a:off x="0" y="0"/>
                      <a:ext cx="4255200" cy="3092400"/>
                    </a:xfrm>
                    <a:prstGeom prst="rect">
                      <a:avLst/>
                    </a:prstGeom>
                  </pic:spPr>
                </pic:pic>
              </a:graphicData>
            </a:graphic>
          </wp:inline>
        </w:drawing>
      </w:r>
    </w:p>
    <w:p w14:paraId="62A25E61" w14:textId="1FBE01F3" w:rsidR="009267B8" w:rsidRPr="009267B8" w:rsidRDefault="009267B8" w:rsidP="009267B8">
      <w:pPr>
        <w:pStyle w:val="Caption"/>
        <w:ind w:left="0"/>
        <w:rPr>
          <w:lang w:eastAsia="ko-KR"/>
        </w:rPr>
      </w:pPr>
      <w:bookmarkStart w:id="5" w:name="_Ref396324809"/>
      <w:r>
        <w:t xml:space="preserve">Figure </w:t>
      </w:r>
      <w:r w:rsidR="0059426A">
        <w:fldChar w:fldCharType="begin"/>
      </w:r>
      <w:r w:rsidR="0059426A">
        <w:instrText xml:space="preserve"> SEQ Figure \* ARABIC </w:instrText>
      </w:r>
      <w:r w:rsidR="0059426A">
        <w:fldChar w:fldCharType="separate"/>
      </w:r>
      <w:r w:rsidR="002A7BC0">
        <w:rPr>
          <w:noProof/>
        </w:rPr>
        <w:t>3</w:t>
      </w:r>
      <w:r w:rsidR="0059426A">
        <w:rPr>
          <w:noProof/>
        </w:rPr>
        <w:fldChar w:fldCharType="end"/>
      </w:r>
      <w:bookmarkEnd w:id="5"/>
      <w:r>
        <w:t>: Interferer strengths for downlink scenarios.</w:t>
      </w:r>
    </w:p>
    <w:p w14:paraId="55122087" w14:textId="6C37B1AE" w:rsidR="00C15842" w:rsidRDefault="00181434" w:rsidP="005234C8">
      <w:pPr>
        <w:pStyle w:val="Heading3"/>
      </w:pPr>
      <w:r>
        <w:t>Co-TSC</w:t>
      </w:r>
      <w:r w:rsidR="00C15842">
        <w:t xml:space="preserve"> probability</w:t>
      </w:r>
    </w:p>
    <w:p w14:paraId="268A4C91" w14:textId="56B6C243" w:rsidR="00F90903" w:rsidRPr="00F90903" w:rsidRDefault="00B931D2" w:rsidP="00F90903">
      <w:pPr>
        <w:pStyle w:val="BodyText"/>
      </w:pPr>
      <w:r>
        <w:t xml:space="preserve">The co-TSC probabilities for the two strongest CCIs are also derived from the system simulation statistics. The probabilities are calculated per cell. CDFs </w:t>
      </w:r>
      <w:r w:rsidR="00DC5E92">
        <w:t xml:space="preserve">over all cells </w:t>
      </w:r>
      <w:r>
        <w:t xml:space="preserve">are shown in </w:t>
      </w:r>
      <w:r>
        <w:fldChar w:fldCharType="begin"/>
      </w:r>
      <w:r>
        <w:instrText xml:space="preserve"> REF _Ref396331729 \h </w:instrText>
      </w:r>
      <w:r>
        <w:fldChar w:fldCharType="separate"/>
      </w:r>
      <w:r w:rsidR="002A7BC0">
        <w:t xml:space="preserve">Figure </w:t>
      </w:r>
      <w:r w:rsidR="002A7BC0">
        <w:rPr>
          <w:noProof/>
        </w:rPr>
        <w:t>4</w:t>
      </w:r>
      <w:r>
        <w:fldChar w:fldCharType="end"/>
      </w:r>
      <w:r>
        <w:t xml:space="preserve"> and </w:t>
      </w:r>
      <w:r>
        <w:fldChar w:fldCharType="begin"/>
      </w:r>
      <w:r>
        <w:instrText xml:space="preserve"> REF _Ref396331731 \h </w:instrText>
      </w:r>
      <w:r>
        <w:fldChar w:fldCharType="separate"/>
      </w:r>
      <w:r w:rsidR="002A7BC0">
        <w:t xml:space="preserve">Figure </w:t>
      </w:r>
      <w:r w:rsidR="002A7BC0">
        <w:rPr>
          <w:noProof/>
        </w:rPr>
        <w:t>5</w:t>
      </w:r>
      <w:r>
        <w:fldChar w:fldCharType="end"/>
      </w:r>
      <w:r w:rsidR="00DC5E92">
        <w:t xml:space="preserve"> for uplink and downlink, respectively</w:t>
      </w:r>
      <w:r>
        <w:t xml:space="preserve">. </w:t>
      </w:r>
    </w:p>
    <w:p w14:paraId="2E3A4676" w14:textId="35A296AB" w:rsidR="00DD5EFE" w:rsidRDefault="00205DC6" w:rsidP="00835402">
      <w:pPr>
        <w:jc w:val="center"/>
      </w:pPr>
      <w:r>
        <w:rPr>
          <w:noProof/>
        </w:rPr>
        <w:lastRenderedPageBreak/>
        <w:drawing>
          <wp:inline distT="0" distB="0" distL="0" distR="0" wp14:anchorId="5F838357" wp14:editId="397AF5F0">
            <wp:extent cx="4255200" cy="31140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TscCdf_UL.png"/>
                    <pic:cNvPicPr/>
                  </pic:nvPicPr>
                  <pic:blipFill>
                    <a:blip r:embed="rId12">
                      <a:extLst>
                        <a:ext uri="{28A0092B-C50C-407E-A947-70E740481C1C}">
                          <a14:useLocalDpi xmlns:a14="http://schemas.microsoft.com/office/drawing/2010/main" val="0"/>
                        </a:ext>
                      </a:extLst>
                    </a:blip>
                    <a:stretch>
                      <a:fillRect/>
                    </a:stretch>
                  </pic:blipFill>
                  <pic:spPr>
                    <a:xfrm>
                      <a:off x="0" y="0"/>
                      <a:ext cx="4255200" cy="3114000"/>
                    </a:xfrm>
                    <a:prstGeom prst="rect">
                      <a:avLst/>
                    </a:prstGeom>
                  </pic:spPr>
                </pic:pic>
              </a:graphicData>
            </a:graphic>
          </wp:inline>
        </w:drawing>
      </w:r>
    </w:p>
    <w:p w14:paraId="7CF66890" w14:textId="386C02BA" w:rsidR="001D0A5B" w:rsidRDefault="001D0A5B" w:rsidP="00835402">
      <w:pPr>
        <w:pStyle w:val="Caption"/>
        <w:ind w:left="0"/>
      </w:pPr>
      <w:bookmarkStart w:id="6" w:name="_Ref396331729"/>
      <w:r>
        <w:t xml:space="preserve">Figure </w:t>
      </w:r>
      <w:r w:rsidR="0059426A">
        <w:fldChar w:fldCharType="begin"/>
      </w:r>
      <w:r w:rsidR="0059426A">
        <w:instrText xml:space="preserve"> SEQ Figure \* ARABIC </w:instrText>
      </w:r>
      <w:r w:rsidR="0059426A">
        <w:fldChar w:fldCharType="separate"/>
      </w:r>
      <w:r w:rsidR="002A7BC0">
        <w:rPr>
          <w:noProof/>
        </w:rPr>
        <w:t>4</w:t>
      </w:r>
      <w:r w:rsidR="0059426A">
        <w:rPr>
          <w:noProof/>
        </w:rPr>
        <w:fldChar w:fldCharType="end"/>
      </w:r>
      <w:bookmarkEnd w:id="6"/>
      <w:r>
        <w:t xml:space="preserve">: </w:t>
      </w:r>
      <w:r w:rsidR="00835402">
        <w:t>CDFs of co-TSC probability in uplink scenario</w:t>
      </w:r>
      <w:r w:rsidR="008067A4">
        <w:t>s</w:t>
      </w:r>
      <w:r w:rsidR="00835402">
        <w:t>.</w:t>
      </w:r>
    </w:p>
    <w:p w14:paraId="2366DED4" w14:textId="77777777" w:rsidR="001D0A5B" w:rsidRDefault="001D0A5B" w:rsidP="001D0A5B"/>
    <w:p w14:paraId="38FEA1C2" w14:textId="48F2E0F7" w:rsidR="00B931D2" w:rsidRDefault="00205DC6" w:rsidP="00B931D2">
      <w:pPr>
        <w:pStyle w:val="BodyText"/>
        <w:jc w:val="center"/>
        <w:rPr>
          <w:lang w:eastAsia="ko-KR"/>
        </w:rPr>
      </w:pPr>
      <w:r>
        <w:rPr>
          <w:noProof/>
        </w:rPr>
        <w:drawing>
          <wp:inline distT="0" distB="0" distL="0" distR="0" wp14:anchorId="1601CDEF" wp14:editId="2388F0DB">
            <wp:extent cx="4215600" cy="29952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TscCdf_DL.png"/>
                    <pic:cNvPicPr/>
                  </pic:nvPicPr>
                  <pic:blipFill>
                    <a:blip r:embed="rId13">
                      <a:extLst>
                        <a:ext uri="{28A0092B-C50C-407E-A947-70E740481C1C}">
                          <a14:useLocalDpi xmlns:a14="http://schemas.microsoft.com/office/drawing/2010/main" val="0"/>
                        </a:ext>
                      </a:extLst>
                    </a:blip>
                    <a:stretch>
                      <a:fillRect/>
                    </a:stretch>
                  </pic:blipFill>
                  <pic:spPr>
                    <a:xfrm>
                      <a:off x="0" y="0"/>
                      <a:ext cx="4215600" cy="2995200"/>
                    </a:xfrm>
                    <a:prstGeom prst="rect">
                      <a:avLst/>
                    </a:prstGeom>
                  </pic:spPr>
                </pic:pic>
              </a:graphicData>
            </a:graphic>
          </wp:inline>
        </w:drawing>
      </w:r>
    </w:p>
    <w:p w14:paraId="1B906220" w14:textId="0F6B7EB8" w:rsidR="00B931D2" w:rsidRDefault="00B931D2" w:rsidP="00B931D2">
      <w:pPr>
        <w:pStyle w:val="Caption"/>
        <w:ind w:left="0"/>
      </w:pPr>
      <w:bookmarkStart w:id="7" w:name="_Ref396331731"/>
      <w:r>
        <w:t xml:space="preserve">Figure </w:t>
      </w:r>
      <w:r w:rsidR="0059426A">
        <w:fldChar w:fldCharType="begin"/>
      </w:r>
      <w:r w:rsidR="0059426A">
        <w:instrText xml:space="preserve"> SEQ Figure \* ARABIC </w:instrText>
      </w:r>
      <w:r w:rsidR="0059426A">
        <w:fldChar w:fldCharType="separate"/>
      </w:r>
      <w:r w:rsidR="002A7BC0">
        <w:rPr>
          <w:noProof/>
        </w:rPr>
        <w:t>5</w:t>
      </w:r>
      <w:r w:rsidR="0059426A">
        <w:rPr>
          <w:noProof/>
        </w:rPr>
        <w:fldChar w:fldCharType="end"/>
      </w:r>
      <w:bookmarkEnd w:id="7"/>
      <w:r>
        <w:t>: CDFs of co-TSC probability in downlink scenarios.</w:t>
      </w:r>
    </w:p>
    <w:p w14:paraId="12E6FDB7" w14:textId="77777777" w:rsidR="00D94D0E" w:rsidRDefault="00D94D0E" w:rsidP="00D94D0E"/>
    <w:p w14:paraId="036DEFF0" w14:textId="6887A3D1" w:rsidR="00205DC6" w:rsidRDefault="00964DB7" w:rsidP="001E6D38">
      <w:pPr>
        <w:pStyle w:val="BodyText"/>
      </w:pPr>
      <w:r>
        <w:t>To cover a wide range of situations in the network, three different scenarios are considered</w:t>
      </w:r>
      <w:r w:rsidR="00E27B22">
        <w:t xml:space="preserve"> when deriving the likelihood of co-TSC in the interferer models</w:t>
      </w:r>
      <w:r>
        <w:t>: the 10</w:t>
      </w:r>
      <w:r w:rsidRPr="00964DB7">
        <w:rPr>
          <w:vertAlign w:val="superscript"/>
        </w:rPr>
        <w:t>th</w:t>
      </w:r>
      <w:r>
        <w:t xml:space="preserve"> percentile (corresponding to a good cell from a TSC planning perspective), the median (corresponding to a median cell) and the 90</w:t>
      </w:r>
      <w:r w:rsidRPr="00964DB7">
        <w:rPr>
          <w:vertAlign w:val="superscript"/>
        </w:rPr>
        <w:t>th</w:t>
      </w:r>
      <w:r>
        <w:t xml:space="preserve"> percentile (bad cell). The probabilities are summarized in </w:t>
      </w:r>
      <w:bookmarkStart w:id="8" w:name="_Ref396332360"/>
      <w:r w:rsidR="00D12292">
        <w:fldChar w:fldCharType="begin"/>
      </w:r>
      <w:r w:rsidR="00D12292">
        <w:instrText xml:space="preserve"> REF _Ref396401895 \h </w:instrText>
      </w:r>
      <w:r w:rsidR="001E6D38">
        <w:instrText xml:space="preserve"> \* MERGEFORMAT </w:instrText>
      </w:r>
      <w:r w:rsidR="00D12292">
        <w:fldChar w:fldCharType="separate"/>
      </w:r>
      <w:r w:rsidR="002A7BC0">
        <w:t xml:space="preserve">Table </w:t>
      </w:r>
      <w:r w:rsidR="002A7BC0">
        <w:rPr>
          <w:noProof/>
        </w:rPr>
        <w:t>2</w:t>
      </w:r>
      <w:r w:rsidR="00D12292">
        <w:fldChar w:fldCharType="end"/>
      </w:r>
      <w:r w:rsidR="00D12292">
        <w:t>.</w:t>
      </w:r>
    </w:p>
    <w:tbl>
      <w:tblPr>
        <w:tblStyle w:val="TableGrid"/>
        <w:tblW w:w="0" w:type="auto"/>
        <w:tblInd w:w="108" w:type="dxa"/>
        <w:tblLook w:val="04A0" w:firstRow="1" w:lastRow="0" w:firstColumn="1" w:lastColumn="0" w:noHBand="0" w:noVBand="1"/>
      </w:tblPr>
      <w:tblGrid>
        <w:gridCol w:w="1253"/>
        <w:gridCol w:w="1253"/>
        <w:gridCol w:w="924"/>
        <w:gridCol w:w="1623"/>
        <w:gridCol w:w="1623"/>
        <w:gridCol w:w="1623"/>
      </w:tblGrid>
      <w:tr w:rsidR="00205DC6" w14:paraId="6818753B" w14:textId="77777777" w:rsidTr="00205DC6">
        <w:tc>
          <w:tcPr>
            <w:tcW w:w="3430" w:type="dxa"/>
            <w:gridSpan w:val="3"/>
            <w:tcBorders>
              <w:top w:val="nil"/>
              <w:left w:val="nil"/>
            </w:tcBorders>
          </w:tcPr>
          <w:p w14:paraId="5F2A4791" w14:textId="77777777" w:rsidR="00205DC6" w:rsidRDefault="00205DC6" w:rsidP="00205DC6">
            <w:pPr>
              <w:keepNext/>
              <w:widowControl w:val="0"/>
              <w:spacing w:after="0"/>
              <w:jc w:val="center"/>
            </w:pPr>
          </w:p>
        </w:tc>
        <w:tc>
          <w:tcPr>
            <w:tcW w:w="1623" w:type="dxa"/>
            <w:shd w:val="clear" w:color="auto" w:fill="DAEEF3" w:themeFill="accent5" w:themeFillTint="33"/>
            <w:vAlign w:val="center"/>
          </w:tcPr>
          <w:p w14:paraId="74088188" w14:textId="77777777" w:rsidR="00205DC6" w:rsidRDefault="00205DC6" w:rsidP="00205DC6">
            <w:pPr>
              <w:keepNext/>
              <w:widowControl w:val="0"/>
              <w:spacing w:after="0"/>
              <w:jc w:val="center"/>
            </w:pPr>
            <w:r>
              <w:t>10</w:t>
            </w:r>
            <w:r w:rsidRPr="001D0A5B">
              <w:rPr>
                <w:vertAlign w:val="superscript"/>
              </w:rPr>
              <w:t>th</w:t>
            </w:r>
            <w:r>
              <w:t xml:space="preserve"> percentile</w:t>
            </w:r>
          </w:p>
        </w:tc>
        <w:tc>
          <w:tcPr>
            <w:tcW w:w="1623" w:type="dxa"/>
            <w:shd w:val="clear" w:color="auto" w:fill="DAEEF3" w:themeFill="accent5" w:themeFillTint="33"/>
            <w:vAlign w:val="center"/>
          </w:tcPr>
          <w:p w14:paraId="055E21EA" w14:textId="77777777" w:rsidR="00205DC6" w:rsidRDefault="00205DC6" w:rsidP="00205DC6">
            <w:pPr>
              <w:keepNext/>
              <w:widowControl w:val="0"/>
              <w:spacing w:after="0"/>
              <w:jc w:val="center"/>
            </w:pPr>
            <w:r>
              <w:t>50</w:t>
            </w:r>
            <w:r w:rsidRPr="001D0A5B">
              <w:rPr>
                <w:vertAlign w:val="superscript"/>
              </w:rPr>
              <w:t>th</w:t>
            </w:r>
            <w:r>
              <w:t xml:space="preserve"> percentile</w:t>
            </w:r>
          </w:p>
        </w:tc>
        <w:tc>
          <w:tcPr>
            <w:tcW w:w="1623" w:type="dxa"/>
            <w:shd w:val="clear" w:color="auto" w:fill="DAEEF3" w:themeFill="accent5" w:themeFillTint="33"/>
            <w:vAlign w:val="center"/>
          </w:tcPr>
          <w:p w14:paraId="0747C9E1" w14:textId="77777777" w:rsidR="00205DC6" w:rsidRDefault="00205DC6" w:rsidP="00205DC6">
            <w:pPr>
              <w:keepNext/>
              <w:widowControl w:val="0"/>
              <w:spacing w:after="0"/>
              <w:jc w:val="center"/>
            </w:pPr>
            <w:r>
              <w:t>90</w:t>
            </w:r>
            <w:r w:rsidRPr="001D0A5B">
              <w:rPr>
                <w:vertAlign w:val="superscript"/>
              </w:rPr>
              <w:t>th</w:t>
            </w:r>
            <w:r>
              <w:t xml:space="preserve"> percentile</w:t>
            </w:r>
          </w:p>
        </w:tc>
      </w:tr>
      <w:tr w:rsidR="00205DC6" w14:paraId="7E2F7CA2" w14:textId="77777777" w:rsidTr="00205DC6">
        <w:tc>
          <w:tcPr>
            <w:tcW w:w="1253" w:type="dxa"/>
            <w:vMerge w:val="restart"/>
            <w:shd w:val="clear" w:color="auto" w:fill="DAEEF3" w:themeFill="accent5" w:themeFillTint="33"/>
            <w:vAlign w:val="center"/>
          </w:tcPr>
          <w:p w14:paraId="0D5656FE" w14:textId="77777777" w:rsidR="00205DC6" w:rsidRDefault="00205DC6" w:rsidP="00205DC6">
            <w:pPr>
              <w:keepNext/>
              <w:widowControl w:val="0"/>
              <w:spacing w:after="0"/>
              <w:jc w:val="center"/>
            </w:pPr>
            <w:r>
              <w:t>Uplink</w:t>
            </w:r>
          </w:p>
        </w:tc>
        <w:tc>
          <w:tcPr>
            <w:tcW w:w="1253" w:type="dxa"/>
            <w:vMerge w:val="restart"/>
            <w:shd w:val="clear" w:color="auto" w:fill="DAEEF3" w:themeFill="accent5" w:themeFillTint="33"/>
            <w:vAlign w:val="center"/>
          </w:tcPr>
          <w:p w14:paraId="4453F9BB" w14:textId="77777777" w:rsidR="00205DC6" w:rsidRDefault="00205DC6" w:rsidP="00205DC6">
            <w:pPr>
              <w:keepNext/>
              <w:widowControl w:val="0"/>
              <w:spacing w:after="0"/>
              <w:jc w:val="center"/>
            </w:pPr>
            <w:r>
              <w:t>8 TSC plan</w:t>
            </w:r>
          </w:p>
        </w:tc>
        <w:tc>
          <w:tcPr>
            <w:tcW w:w="924" w:type="dxa"/>
            <w:shd w:val="clear" w:color="auto" w:fill="DAEEF3" w:themeFill="accent5" w:themeFillTint="33"/>
            <w:vAlign w:val="center"/>
          </w:tcPr>
          <w:p w14:paraId="64A06242" w14:textId="77777777" w:rsidR="00205DC6" w:rsidRDefault="00205DC6" w:rsidP="00205DC6">
            <w:pPr>
              <w:keepNext/>
              <w:widowControl w:val="0"/>
              <w:spacing w:after="0"/>
              <w:jc w:val="center"/>
            </w:pPr>
            <w:r>
              <w:t>1</w:t>
            </w:r>
            <w:r w:rsidRPr="00C15842">
              <w:rPr>
                <w:vertAlign w:val="superscript"/>
              </w:rPr>
              <w:t>st</w:t>
            </w:r>
            <w:r>
              <w:t xml:space="preserve"> CCI</w:t>
            </w:r>
          </w:p>
        </w:tc>
        <w:tc>
          <w:tcPr>
            <w:tcW w:w="1623" w:type="dxa"/>
            <w:vAlign w:val="center"/>
          </w:tcPr>
          <w:p w14:paraId="77E66A52" w14:textId="55DA7FE1" w:rsidR="00205DC6" w:rsidRPr="004D5C36" w:rsidRDefault="00205DC6" w:rsidP="00205DC6">
            <w:pPr>
              <w:keepNext/>
              <w:widowControl w:val="0"/>
              <w:spacing w:after="0"/>
              <w:jc w:val="center"/>
            </w:pPr>
            <w:r w:rsidRPr="004D5C36">
              <w:t>3.5%</w:t>
            </w:r>
          </w:p>
        </w:tc>
        <w:tc>
          <w:tcPr>
            <w:tcW w:w="1623" w:type="dxa"/>
            <w:vAlign w:val="center"/>
          </w:tcPr>
          <w:p w14:paraId="5D89BEA7" w14:textId="3A68B45A" w:rsidR="00205DC6" w:rsidRPr="004D5C36" w:rsidRDefault="00205DC6" w:rsidP="00205DC6">
            <w:pPr>
              <w:keepNext/>
              <w:widowControl w:val="0"/>
              <w:spacing w:after="0"/>
              <w:jc w:val="center"/>
            </w:pPr>
            <w:r w:rsidRPr="004D5C36">
              <w:t>6.5%</w:t>
            </w:r>
          </w:p>
        </w:tc>
        <w:tc>
          <w:tcPr>
            <w:tcW w:w="1623" w:type="dxa"/>
            <w:vAlign w:val="center"/>
          </w:tcPr>
          <w:p w14:paraId="0863F80B" w14:textId="5DDBC3D3" w:rsidR="00205DC6" w:rsidRPr="004D5C36" w:rsidRDefault="00205DC6" w:rsidP="00205DC6">
            <w:pPr>
              <w:keepNext/>
              <w:widowControl w:val="0"/>
              <w:spacing w:after="0"/>
              <w:jc w:val="center"/>
            </w:pPr>
            <w:r w:rsidRPr="004D5C36">
              <w:t>11%</w:t>
            </w:r>
          </w:p>
        </w:tc>
      </w:tr>
      <w:tr w:rsidR="00205DC6" w14:paraId="747F9326" w14:textId="77777777" w:rsidTr="00205DC6">
        <w:tc>
          <w:tcPr>
            <w:tcW w:w="1253" w:type="dxa"/>
            <w:vMerge/>
            <w:shd w:val="clear" w:color="auto" w:fill="DAEEF3" w:themeFill="accent5" w:themeFillTint="33"/>
            <w:vAlign w:val="center"/>
          </w:tcPr>
          <w:p w14:paraId="7ECD4D5B" w14:textId="77777777" w:rsidR="00205DC6" w:rsidRDefault="00205DC6" w:rsidP="00205DC6">
            <w:pPr>
              <w:keepNext/>
              <w:widowControl w:val="0"/>
              <w:spacing w:after="0"/>
              <w:jc w:val="center"/>
            </w:pPr>
          </w:p>
        </w:tc>
        <w:tc>
          <w:tcPr>
            <w:tcW w:w="1253" w:type="dxa"/>
            <w:vMerge/>
            <w:shd w:val="clear" w:color="auto" w:fill="DAEEF3" w:themeFill="accent5" w:themeFillTint="33"/>
            <w:vAlign w:val="center"/>
          </w:tcPr>
          <w:p w14:paraId="251D9BAA" w14:textId="77777777" w:rsidR="00205DC6" w:rsidRDefault="00205DC6" w:rsidP="00205DC6">
            <w:pPr>
              <w:keepNext/>
              <w:widowControl w:val="0"/>
              <w:spacing w:after="0"/>
              <w:jc w:val="center"/>
            </w:pPr>
          </w:p>
        </w:tc>
        <w:tc>
          <w:tcPr>
            <w:tcW w:w="924" w:type="dxa"/>
            <w:shd w:val="clear" w:color="auto" w:fill="DAEEF3" w:themeFill="accent5" w:themeFillTint="33"/>
            <w:vAlign w:val="center"/>
          </w:tcPr>
          <w:p w14:paraId="7BE9891E" w14:textId="77777777" w:rsidR="00205DC6" w:rsidRDefault="00205DC6" w:rsidP="00205DC6">
            <w:pPr>
              <w:keepNext/>
              <w:widowControl w:val="0"/>
              <w:spacing w:after="0"/>
              <w:jc w:val="center"/>
            </w:pPr>
            <w:r>
              <w:t>2</w:t>
            </w:r>
            <w:r w:rsidRPr="00C15842">
              <w:rPr>
                <w:vertAlign w:val="superscript"/>
              </w:rPr>
              <w:t>nd</w:t>
            </w:r>
            <w:r>
              <w:t xml:space="preserve"> CCI</w:t>
            </w:r>
          </w:p>
        </w:tc>
        <w:tc>
          <w:tcPr>
            <w:tcW w:w="1623" w:type="dxa"/>
            <w:vAlign w:val="center"/>
          </w:tcPr>
          <w:p w14:paraId="493E4539" w14:textId="52F45B67" w:rsidR="00205DC6" w:rsidRPr="004D5C36" w:rsidRDefault="00205DC6" w:rsidP="00205DC6">
            <w:pPr>
              <w:keepNext/>
              <w:widowControl w:val="0"/>
              <w:spacing w:after="0"/>
              <w:jc w:val="center"/>
            </w:pPr>
            <w:r w:rsidRPr="004D5C36">
              <w:t>6.9%</w:t>
            </w:r>
          </w:p>
        </w:tc>
        <w:tc>
          <w:tcPr>
            <w:tcW w:w="1623" w:type="dxa"/>
            <w:vAlign w:val="center"/>
          </w:tcPr>
          <w:p w14:paraId="74F2892D" w14:textId="036371E3" w:rsidR="00205DC6" w:rsidRPr="004D5C36" w:rsidRDefault="00205DC6" w:rsidP="00205DC6">
            <w:pPr>
              <w:keepNext/>
              <w:widowControl w:val="0"/>
              <w:spacing w:after="0"/>
              <w:jc w:val="center"/>
            </w:pPr>
            <w:r w:rsidRPr="004D5C36">
              <w:t>9.8%</w:t>
            </w:r>
          </w:p>
        </w:tc>
        <w:tc>
          <w:tcPr>
            <w:tcW w:w="1623" w:type="dxa"/>
            <w:vAlign w:val="center"/>
          </w:tcPr>
          <w:p w14:paraId="17856BA7" w14:textId="1914C16C" w:rsidR="00205DC6" w:rsidRPr="004D5C36" w:rsidRDefault="00205DC6" w:rsidP="00205DC6">
            <w:pPr>
              <w:keepNext/>
              <w:widowControl w:val="0"/>
              <w:spacing w:after="0"/>
              <w:jc w:val="center"/>
            </w:pPr>
            <w:r w:rsidRPr="004D5C36">
              <w:t>13%</w:t>
            </w:r>
          </w:p>
        </w:tc>
      </w:tr>
      <w:tr w:rsidR="00205DC6" w14:paraId="53441E98" w14:textId="77777777" w:rsidTr="00205DC6">
        <w:tc>
          <w:tcPr>
            <w:tcW w:w="1253" w:type="dxa"/>
            <w:vMerge/>
            <w:shd w:val="clear" w:color="auto" w:fill="DAEEF3" w:themeFill="accent5" w:themeFillTint="33"/>
            <w:vAlign w:val="center"/>
          </w:tcPr>
          <w:p w14:paraId="5D3CFC75" w14:textId="77777777" w:rsidR="00205DC6" w:rsidRDefault="00205DC6" w:rsidP="00205DC6">
            <w:pPr>
              <w:keepNext/>
              <w:widowControl w:val="0"/>
              <w:spacing w:after="0"/>
              <w:jc w:val="center"/>
            </w:pPr>
          </w:p>
        </w:tc>
        <w:tc>
          <w:tcPr>
            <w:tcW w:w="1253" w:type="dxa"/>
            <w:vMerge w:val="restart"/>
            <w:shd w:val="clear" w:color="auto" w:fill="DAEEF3" w:themeFill="accent5" w:themeFillTint="33"/>
            <w:vAlign w:val="center"/>
          </w:tcPr>
          <w:p w14:paraId="07AE04AD" w14:textId="77777777" w:rsidR="00205DC6" w:rsidRDefault="00205DC6" w:rsidP="00205DC6">
            <w:pPr>
              <w:keepNext/>
              <w:widowControl w:val="0"/>
              <w:spacing w:after="0"/>
              <w:jc w:val="center"/>
            </w:pPr>
            <w:r>
              <w:t>16 TSC plan</w:t>
            </w:r>
          </w:p>
        </w:tc>
        <w:tc>
          <w:tcPr>
            <w:tcW w:w="924" w:type="dxa"/>
            <w:shd w:val="clear" w:color="auto" w:fill="DAEEF3" w:themeFill="accent5" w:themeFillTint="33"/>
            <w:vAlign w:val="center"/>
          </w:tcPr>
          <w:p w14:paraId="39F6111A" w14:textId="77777777" w:rsidR="00205DC6" w:rsidRDefault="00205DC6" w:rsidP="00205DC6">
            <w:pPr>
              <w:keepNext/>
              <w:widowControl w:val="0"/>
              <w:spacing w:after="0"/>
              <w:jc w:val="center"/>
            </w:pPr>
            <w:r>
              <w:t>1</w:t>
            </w:r>
            <w:r w:rsidRPr="00C15842">
              <w:rPr>
                <w:vertAlign w:val="superscript"/>
              </w:rPr>
              <w:t>st</w:t>
            </w:r>
            <w:r>
              <w:t xml:space="preserve"> CCI</w:t>
            </w:r>
          </w:p>
        </w:tc>
        <w:tc>
          <w:tcPr>
            <w:tcW w:w="1623" w:type="dxa"/>
            <w:vAlign w:val="center"/>
          </w:tcPr>
          <w:p w14:paraId="2FFAEB63" w14:textId="4C4D094D" w:rsidR="00205DC6" w:rsidRPr="004D5C36" w:rsidRDefault="00205DC6" w:rsidP="00205DC6">
            <w:pPr>
              <w:keepNext/>
              <w:widowControl w:val="0"/>
              <w:spacing w:after="0"/>
              <w:jc w:val="center"/>
            </w:pPr>
            <w:r w:rsidRPr="004D5C36">
              <w:t>0.64%</w:t>
            </w:r>
          </w:p>
        </w:tc>
        <w:tc>
          <w:tcPr>
            <w:tcW w:w="1623" w:type="dxa"/>
            <w:vAlign w:val="center"/>
          </w:tcPr>
          <w:p w14:paraId="4824FFBE" w14:textId="426AAA3C" w:rsidR="00205DC6" w:rsidRPr="004D5C36" w:rsidRDefault="00205DC6" w:rsidP="00205DC6">
            <w:pPr>
              <w:keepNext/>
              <w:widowControl w:val="0"/>
              <w:spacing w:after="0"/>
              <w:jc w:val="center"/>
            </w:pPr>
            <w:r w:rsidRPr="004D5C36">
              <w:t>1.6%</w:t>
            </w:r>
          </w:p>
        </w:tc>
        <w:tc>
          <w:tcPr>
            <w:tcW w:w="1623" w:type="dxa"/>
            <w:vAlign w:val="center"/>
          </w:tcPr>
          <w:p w14:paraId="4E740080" w14:textId="1111A2C8" w:rsidR="00205DC6" w:rsidRPr="004D5C36" w:rsidRDefault="00205DC6" w:rsidP="00205DC6">
            <w:pPr>
              <w:keepNext/>
              <w:widowControl w:val="0"/>
              <w:spacing w:after="0"/>
              <w:jc w:val="center"/>
            </w:pPr>
            <w:r w:rsidRPr="004D5C36">
              <w:t>3.2%</w:t>
            </w:r>
          </w:p>
        </w:tc>
      </w:tr>
      <w:tr w:rsidR="00205DC6" w14:paraId="5CC753B4" w14:textId="77777777" w:rsidTr="00205DC6">
        <w:tc>
          <w:tcPr>
            <w:tcW w:w="1253" w:type="dxa"/>
            <w:vMerge/>
            <w:shd w:val="clear" w:color="auto" w:fill="DAEEF3" w:themeFill="accent5" w:themeFillTint="33"/>
            <w:vAlign w:val="center"/>
          </w:tcPr>
          <w:p w14:paraId="77567CDD" w14:textId="77777777" w:rsidR="00205DC6" w:rsidRDefault="00205DC6" w:rsidP="00205DC6">
            <w:pPr>
              <w:keepNext/>
              <w:widowControl w:val="0"/>
              <w:spacing w:after="0"/>
              <w:jc w:val="center"/>
            </w:pPr>
          </w:p>
        </w:tc>
        <w:tc>
          <w:tcPr>
            <w:tcW w:w="1253" w:type="dxa"/>
            <w:vMerge/>
            <w:shd w:val="clear" w:color="auto" w:fill="DAEEF3" w:themeFill="accent5" w:themeFillTint="33"/>
            <w:vAlign w:val="center"/>
          </w:tcPr>
          <w:p w14:paraId="4C012DB5" w14:textId="77777777" w:rsidR="00205DC6" w:rsidRDefault="00205DC6" w:rsidP="00205DC6">
            <w:pPr>
              <w:keepNext/>
              <w:widowControl w:val="0"/>
              <w:spacing w:after="0"/>
              <w:jc w:val="center"/>
            </w:pPr>
          </w:p>
        </w:tc>
        <w:tc>
          <w:tcPr>
            <w:tcW w:w="924" w:type="dxa"/>
            <w:shd w:val="clear" w:color="auto" w:fill="DAEEF3" w:themeFill="accent5" w:themeFillTint="33"/>
            <w:vAlign w:val="center"/>
          </w:tcPr>
          <w:p w14:paraId="64436985" w14:textId="77777777" w:rsidR="00205DC6" w:rsidRDefault="00205DC6" w:rsidP="00205DC6">
            <w:pPr>
              <w:keepNext/>
              <w:widowControl w:val="0"/>
              <w:spacing w:after="0"/>
              <w:jc w:val="center"/>
            </w:pPr>
            <w:r>
              <w:t>2</w:t>
            </w:r>
            <w:r w:rsidRPr="00C15842">
              <w:rPr>
                <w:vertAlign w:val="superscript"/>
              </w:rPr>
              <w:t>nd</w:t>
            </w:r>
            <w:r>
              <w:t xml:space="preserve"> CCI</w:t>
            </w:r>
          </w:p>
        </w:tc>
        <w:tc>
          <w:tcPr>
            <w:tcW w:w="1623" w:type="dxa"/>
            <w:vAlign w:val="center"/>
          </w:tcPr>
          <w:p w14:paraId="0933FB52" w14:textId="6C9E841B" w:rsidR="00205DC6" w:rsidRPr="004D5C36" w:rsidRDefault="00205DC6" w:rsidP="00205DC6">
            <w:pPr>
              <w:keepNext/>
              <w:widowControl w:val="0"/>
              <w:spacing w:after="0"/>
              <w:jc w:val="center"/>
            </w:pPr>
            <w:r w:rsidRPr="004D5C36">
              <w:t>1.7%</w:t>
            </w:r>
          </w:p>
        </w:tc>
        <w:tc>
          <w:tcPr>
            <w:tcW w:w="1623" w:type="dxa"/>
            <w:vAlign w:val="center"/>
          </w:tcPr>
          <w:p w14:paraId="2A3D30C3" w14:textId="183EFB85" w:rsidR="00205DC6" w:rsidRPr="004D5C36" w:rsidRDefault="00205DC6" w:rsidP="00205DC6">
            <w:pPr>
              <w:keepNext/>
              <w:widowControl w:val="0"/>
              <w:spacing w:after="0"/>
              <w:jc w:val="center"/>
            </w:pPr>
            <w:r w:rsidRPr="004D5C36">
              <w:t>3.2%</w:t>
            </w:r>
          </w:p>
        </w:tc>
        <w:tc>
          <w:tcPr>
            <w:tcW w:w="1623" w:type="dxa"/>
            <w:vAlign w:val="center"/>
          </w:tcPr>
          <w:p w14:paraId="0884769E" w14:textId="4343CC99" w:rsidR="00205DC6" w:rsidRPr="004D5C36" w:rsidRDefault="00205DC6" w:rsidP="00205DC6">
            <w:pPr>
              <w:keepNext/>
              <w:widowControl w:val="0"/>
              <w:spacing w:after="0"/>
              <w:jc w:val="center"/>
            </w:pPr>
            <w:r w:rsidRPr="004D5C36">
              <w:t>5.7%</w:t>
            </w:r>
          </w:p>
        </w:tc>
      </w:tr>
      <w:tr w:rsidR="00205DC6" w14:paraId="45B53E67" w14:textId="77777777" w:rsidTr="00205DC6">
        <w:tc>
          <w:tcPr>
            <w:tcW w:w="1253" w:type="dxa"/>
            <w:vMerge w:val="restart"/>
            <w:shd w:val="clear" w:color="auto" w:fill="DAEEF3" w:themeFill="accent5" w:themeFillTint="33"/>
            <w:vAlign w:val="center"/>
          </w:tcPr>
          <w:p w14:paraId="65E30518" w14:textId="77777777" w:rsidR="00205DC6" w:rsidRDefault="00205DC6" w:rsidP="00205DC6">
            <w:pPr>
              <w:keepNext/>
              <w:widowControl w:val="0"/>
              <w:spacing w:after="0"/>
              <w:jc w:val="center"/>
            </w:pPr>
            <w:r>
              <w:t>Downlink</w:t>
            </w:r>
          </w:p>
        </w:tc>
        <w:tc>
          <w:tcPr>
            <w:tcW w:w="1253" w:type="dxa"/>
            <w:vMerge w:val="restart"/>
            <w:shd w:val="clear" w:color="auto" w:fill="DAEEF3" w:themeFill="accent5" w:themeFillTint="33"/>
            <w:vAlign w:val="center"/>
          </w:tcPr>
          <w:p w14:paraId="5147485A" w14:textId="77777777" w:rsidR="00205DC6" w:rsidRDefault="00205DC6" w:rsidP="00205DC6">
            <w:pPr>
              <w:keepNext/>
              <w:widowControl w:val="0"/>
              <w:spacing w:after="0"/>
              <w:jc w:val="center"/>
            </w:pPr>
            <w:r>
              <w:t>8 TSC plan</w:t>
            </w:r>
          </w:p>
        </w:tc>
        <w:tc>
          <w:tcPr>
            <w:tcW w:w="924" w:type="dxa"/>
            <w:shd w:val="clear" w:color="auto" w:fill="DAEEF3" w:themeFill="accent5" w:themeFillTint="33"/>
            <w:vAlign w:val="center"/>
          </w:tcPr>
          <w:p w14:paraId="36AF8E58" w14:textId="77777777" w:rsidR="00205DC6" w:rsidRDefault="00205DC6" w:rsidP="00205DC6">
            <w:pPr>
              <w:keepNext/>
              <w:widowControl w:val="0"/>
              <w:spacing w:after="0"/>
              <w:jc w:val="center"/>
            </w:pPr>
            <w:r>
              <w:t>1</w:t>
            </w:r>
            <w:r w:rsidRPr="00C15842">
              <w:rPr>
                <w:vertAlign w:val="superscript"/>
              </w:rPr>
              <w:t>st</w:t>
            </w:r>
            <w:r>
              <w:t xml:space="preserve"> CCI</w:t>
            </w:r>
          </w:p>
        </w:tc>
        <w:tc>
          <w:tcPr>
            <w:tcW w:w="1623" w:type="dxa"/>
            <w:vAlign w:val="center"/>
          </w:tcPr>
          <w:p w14:paraId="07F4A428" w14:textId="1B0CD4AA" w:rsidR="00205DC6" w:rsidRPr="004D5C36" w:rsidRDefault="00205DC6" w:rsidP="00205DC6">
            <w:pPr>
              <w:keepNext/>
              <w:widowControl w:val="0"/>
              <w:spacing w:after="0"/>
              <w:jc w:val="center"/>
            </w:pPr>
            <w:r w:rsidRPr="004D5C36">
              <w:t>1.8%</w:t>
            </w:r>
          </w:p>
        </w:tc>
        <w:tc>
          <w:tcPr>
            <w:tcW w:w="1623" w:type="dxa"/>
            <w:vAlign w:val="center"/>
          </w:tcPr>
          <w:p w14:paraId="4F4A525F" w14:textId="56473162" w:rsidR="00205DC6" w:rsidRPr="004D5C36" w:rsidRDefault="00205DC6" w:rsidP="00205DC6">
            <w:pPr>
              <w:keepNext/>
              <w:widowControl w:val="0"/>
              <w:spacing w:after="0"/>
              <w:jc w:val="center"/>
            </w:pPr>
            <w:r w:rsidRPr="004D5C36">
              <w:t>5.5%</w:t>
            </w:r>
          </w:p>
        </w:tc>
        <w:tc>
          <w:tcPr>
            <w:tcW w:w="1623" w:type="dxa"/>
            <w:vAlign w:val="center"/>
          </w:tcPr>
          <w:p w14:paraId="7146D70F" w14:textId="043E5C37" w:rsidR="00205DC6" w:rsidRPr="004D5C36" w:rsidRDefault="00205DC6" w:rsidP="00205DC6">
            <w:pPr>
              <w:keepNext/>
              <w:widowControl w:val="0"/>
              <w:spacing w:after="0"/>
              <w:jc w:val="center"/>
            </w:pPr>
            <w:r w:rsidRPr="004D5C36">
              <w:t>13%</w:t>
            </w:r>
          </w:p>
        </w:tc>
      </w:tr>
      <w:tr w:rsidR="00205DC6" w14:paraId="1480CE60" w14:textId="77777777" w:rsidTr="00205DC6">
        <w:tc>
          <w:tcPr>
            <w:tcW w:w="1253" w:type="dxa"/>
            <w:vMerge/>
            <w:shd w:val="clear" w:color="auto" w:fill="DAEEF3" w:themeFill="accent5" w:themeFillTint="33"/>
            <w:vAlign w:val="center"/>
          </w:tcPr>
          <w:p w14:paraId="5527DB18" w14:textId="77777777" w:rsidR="00205DC6" w:rsidRDefault="00205DC6" w:rsidP="00205DC6">
            <w:pPr>
              <w:keepNext/>
              <w:widowControl w:val="0"/>
              <w:spacing w:after="0"/>
              <w:jc w:val="center"/>
            </w:pPr>
          </w:p>
        </w:tc>
        <w:tc>
          <w:tcPr>
            <w:tcW w:w="1253" w:type="dxa"/>
            <w:vMerge/>
            <w:shd w:val="clear" w:color="auto" w:fill="DAEEF3" w:themeFill="accent5" w:themeFillTint="33"/>
            <w:vAlign w:val="center"/>
          </w:tcPr>
          <w:p w14:paraId="750D1436" w14:textId="77777777" w:rsidR="00205DC6" w:rsidRDefault="00205DC6" w:rsidP="00205DC6">
            <w:pPr>
              <w:keepNext/>
              <w:widowControl w:val="0"/>
              <w:spacing w:after="0"/>
              <w:jc w:val="center"/>
            </w:pPr>
          </w:p>
        </w:tc>
        <w:tc>
          <w:tcPr>
            <w:tcW w:w="924" w:type="dxa"/>
            <w:shd w:val="clear" w:color="auto" w:fill="DAEEF3" w:themeFill="accent5" w:themeFillTint="33"/>
            <w:vAlign w:val="center"/>
          </w:tcPr>
          <w:p w14:paraId="11CD5C6C" w14:textId="77777777" w:rsidR="00205DC6" w:rsidRDefault="00205DC6" w:rsidP="00205DC6">
            <w:pPr>
              <w:keepNext/>
              <w:widowControl w:val="0"/>
              <w:spacing w:after="0"/>
              <w:jc w:val="center"/>
            </w:pPr>
            <w:r>
              <w:t>2</w:t>
            </w:r>
            <w:r w:rsidRPr="00C15842">
              <w:rPr>
                <w:vertAlign w:val="superscript"/>
              </w:rPr>
              <w:t>nd</w:t>
            </w:r>
            <w:r>
              <w:t xml:space="preserve"> CCI</w:t>
            </w:r>
          </w:p>
        </w:tc>
        <w:tc>
          <w:tcPr>
            <w:tcW w:w="1623" w:type="dxa"/>
            <w:vAlign w:val="center"/>
          </w:tcPr>
          <w:p w14:paraId="0E5F5801" w14:textId="676454C3" w:rsidR="00205DC6" w:rsidRDefault="00205DC6" w:rsidP="00205DC6">
            <w:pPr>
              <w:keepNext/>
              <w:widowControl w:val="0"/>
              <w:spacing w:after="0"/>
              <w:jc w:val="center"/>
            </w:pPr>
            <w:r>
              <w:t>4.4%</w:t>
            </w:r>
          </w:p>
        </w:tc>
        <w:tc>
          <w:tcPr>
            <w:tcW w:w="1623" w:type="dxa"/>
            <w:vAlign w:val="center"/>
          </w:tcPr>
          <w:p w14:paraId="7ABFDDC0" w14:textId="0F14B22E" w:rsidR="00205DC6" w:rsidRDefault="00205DC6" w:rsidP="00205DC6">
            <w:pPr>
              <w:keepNext/>
              <w:widowControl w:val="0"/>
              <w:spacing w:after="0"/>
              <w:jc w:val="center"/>
            </w:pPr>
            <w:r>
              <w:t>9.9%</w:t>
            </w:r>
          </w:p>
        </w:tc>
        <w:tc>
          <w:tcPr>
            <w:tcW w:w="1623" w:type="dxa"/>
            <w:vAlign w:val="center"/>
          </w:tcPr>
          <w:p w14:paraId="2DAB0237" w14:textId="2804536C" w:rsidR="00205DC6" w:rsidRDefault="00205DC6" w:rsidP="00205DC6">
            <w:pPr>
              <w:keepNext/>
              <w:widowControl w:val="0"/>
              <w:spacing w:after="0"/>
              <w:jc w:val="center"/>
            </w:pPr>
            <w:r>
              <w:t>16%</w:t>
            </w:r>
          </w:p>
        </w:tc>
      </w:tr>
      <w:tr w:rsidR="00205DC6" w14:paraId="57701F2B" w14:textId="77777777" w:rsidTr="00205DC6">
        <w:tc>
          <w:tcPr>
            <w:tcW w:w="1253" w:type="dxa"/>
            <w:vMerge/>
            <w:shd w:val="clear" w:color="auto" w:fill="DAEEF3" w:themeFill="accent5" w:themeFillTint="33"/>
            <w:vAlign w:val="center"/>
          </w:tcPr>
          <w:p w14:paraId="2C79FCE9" w14:textId="77777777" w:rsidR="00205DC6" w:rsidRDefault="00205DC6" w:rsidP="00205DC6">
            <w:pPr>
              <w:keepNext/>
              <w:widowControl w:val="0"/>
              <w:spacing w:after="0"/>
              <w:jc w:val="center"/>
            </w:pPr>
          </w:p>
        </w:tc>
        <w:tc>
          <w:tcPr>
            <w:tcW w:w="1253" w:type="dxa"/>
            <w:vMerge w:val="restart"/>
            <w:shd w:val="clear" w:color="auto" w:fill="DAEEF3" w:themeFill="accent5" w:themeFillTint="33"/>
            <w:vAlign w:val="center"/>
          </w:tcPr>
          <w:p w14:paraId="5EE84DC9" w14:textId="77777777" w:rsidR="00205DC6" w:rsidRDefault="00205DC6" w:rsidP="00205DC6">
            <w:pPr>
              <w:keepNext/>
              <w:widowControl w:val="0"/>
              <w:spacing w:after="0"/>
              <w:jc w:val="center"/>
            </w:pPr>
            <w:r>
              <w:t>16 TSC plan</w:t>
            </w:r>
          </w:p>
        </w:tc>
        <w:tc>
          <w:tcPr>
            <w:tcW w:w="924" w:type="dxa"/>
            <w:shd w:val="clear" w:color="auto" w:fill="DAEEF3" w:themeFill="accent5" w:themeFillTint="33"/>
            <w:vAlign w:val="center"/>
          </w:tcPr>
          <w:p w14:paraId="10FCFB61" w14:textId="77777777" w:rsidR="00205DC6" w:rsidRDefault="00205DC6" w:rsidP="00205DC6">
            <w:pPr>
              <w:keepNext/>
              <w:widowControl w:val="0"/>
              <w:spacing w:after="0"/>
              <w:jc w:val="center"/>
            </w:pPr>
            <w:r>
              <w:t>1</w:t>
            </w:r>
            <w:r w:rsidRPr="00C15842">
              <w:rPr>
                <w:vertAlign w:val="superscript"/>
              </w:rPr>
              <w:t>st</w:t>
            </w:r>
            <w:r>
              <w:t xml:space="preserve"> CCI</w:t>
            </w:r>
          </w:p>
        </w:tc>
        <w:tc>
          <w:tcPr>
            <w:tcW w:w="1623" w:type="dxa"/>
            <w:vAlign w:val="center"/>
          </w:tcPr>
          <w:p w14:paraId="5444662B" w14:textId="49011F5D" w:rsidR="00205DC6" w:rsidRDefault="00205DC6" w:rsidP="00205DC6">
            <w:pPr>
              <w:keepNext/>
              <w:widowControl w:val="0"/>
              <w:spacing w:after="0"/>
              <w:jc w:val="center"/>
            </w:pPr>
            <w:r>
              <w:t>0.19%</w:t>
            </w:r>
          </w:p>
        </w:tc>
        <w:tc>
          <w:tcPr>
            <w:tcW w:w="1623" w:type="dxa"/>
            <w:vAlign w:val="center"/>
          </w:tcPr>
          <w:p w14:paraId="5F1066B9" w14:textId="4B1D176A" w:rsidR="00205DC6" w:rsidRDefault="00205DC6" w:rsidP="00205DC6">
            <w:pPr>
              <w:keepNext/>
              <w:widowControl w:val="0"/>
              <w:spacing w:after="0"/>
              <w:jc w:val="center"/>
            </w:pPr>
            <w:r>
              <w:t>1.1%</w:t>
            </w:r>
          </w:p>
        </w:tc>
        <w:tc>
          <w:tcPr>
            <w:tcW w:w="1623" w:type="dxa"/>
            <w:vAlign w:val="center"/>
          </w:tcPr>
          <w:p w14:paraId="13419EA7" w14:textId="54F126C1" w:rsidR="00205DC6" w:rsidRDefault="00205DC6" w:rsidP="00205DC6">
            <w:pPr>
              <w:keepNext/>
              <w:widowControl w:val="0"/>
              <w:spacing w:after="0"/>
              <w:jc w:val="center"/>
            </w:pPr>
            <w:r>
              <w:t>4.7%</w:t>
            </w:r>
          </w:p>
        </w:tc>
      </w:tr>
      <w:tr w:rsidR="00205DC6" w14:paraId="4FC27371" w14:textId="77777777" w:rsidTr="00205DC6">
        <w:tc>
          <w:tcPr>
            <w:tcW w:w="1253" w:type="dxa"/>
            <w:vMerge/>
            <w:shd w:val="clear" w:color="auto" w:fill="DAEEF3" w:themeFill="accent5" w:themeFillTint="33"/>
            <w:vAlign w:val="center"/>
          </w:tcPr>
          <w:p w14:paraId="03689ECC" w14:textId="77777777" w:rsidR="00205DC6" w:rsidRDefault="00205DC6" w:rsidP="00205DC6">
            <w:pPr>
              <w:keepNext/>
              <w:widowControl w:val="0"/>
              <w:spacing w:after="0"/>
              <w:jc w:val="center"/>
            </w:pPr>
          </w:p>
        </w:tc>
        <w:tc>
          <w:tcPr>
            <w:tcW w:w="1253" w:type="dxa"/>
            <w:vMerge/>
            <w:shd w:val="clear" w:color="auto" w:fill="DAEEF3" w:themeFill="accent5" w:themeFillTint="33"/>
            <w:vAlign w:val="center"/>
          </w:tcPr>
          <w:p w14:paraId="5FA0BA58" w14:textId="77777777" w:rsidR="00205DC6" w:rsidRDefault="00205DC6" w:rsidP="00205DC6">
            <w:pPr>
              <w:keepNext/>
              <w:widowControl w:val="0"/>
              <w:spacing w:after="0"/>
              <w:jc w:val="center"/>
            </w:pPr>
          </w:p>
        </w:tc>
        <w:tc>
          <w:tcPr>
            <w:tcW w:w="924" w:type="dxa"/>
            <w:shd w:val="clear" w:color="auto" w:fill="DAEEF3" w:themeFill="accent5" w:themeFillTint="33"/>
            <w:vAlign w:val="center"/>
          </w:tcPr>
          <w:p w14:paraId="3419B1B0" w14:textId="77777777" w:rsidR="00205DC6" w:rsidRDefault="00205DC6" w:rsidP="00205DC6">
            <w:pPr>
              <w:keepNext/>
              <w:widowControl w:val="0"/>
              <w:spacing w:after="0"/>
              <w:jc w:val="center"/>
            </w:pPr>
            <w:r>
              <w:t>2</w:t>
            </w:r>
            <w:r w:rsidRPr="00C15842">
              <w:rPr>
                <w:vertAlign w:val="superscript"/>
              </w:rPr>
              <w:t>nd</w:t>
            </w:r>
            <w:r>
              <w:t xml:space="preserve"> CCI</w:t>
            </w:r>
          </w:p>
        </w:tc>
        <w:tc>
          <w:tcPr>
            <w:tcW w:w="1623" w:type="dxa"/>
            <w:vAlign w:val="center"/>
          </w:tcPr>
          <w:p w14:paraId="58C2801B" w14:textId="426897EC" w:rsidR="00205DC6" w:rsidRDefault="00205DC6" w:rsidP="00205DC6">
            <w:pPr>
              <w:keepNext/>
              <w:widowControl w:val="0"/>
              <w:spacing w:after="0"/>
              <w:jc w:val="center"/>
            </w:pPr>
            <w:r>
              <w:t>0.80%</w:t>
            </w:r>
          </w:p>
        </w:tc>
        <w:tc>
          <w:tcPr>
            <w:tcW w:w="1623" w:type="dxa"/>
            <w:vAlign w:val="center"/>
          </w:tcPr>
          <w:p w14:paraId="38B97D7A" w14:textId="41992275" w:rsidR="00205DC6" w:rsidRDefault="00205DC6" w:rsidP="00205DC6">
            <w:pPr>
              <w:keepNext/>
              <w:widowControl w:val="0"/>
              <w:spacing w:after="0"/>
              <w:jc w:val="center"/>
            </w:pPr>
            <w:r>
              <w:t>3.0%</w:t>
            </w:r>
          </w:p>
        </w:tc>
        <w:tc>
          <w:tcPr>
            <w:tcW w:w="1623" w:type="dxa"/>
            <w:vAlign w:val="center"/>
          </w:tcPr>
          <w:p w14:paraId="3F0F79DA" w14:textId="2ACBC7A9" w:rsidR="00205DC6" w:rsidRDefault="00205DC6" w:rsidP="00205DC6">
            <w:pPr>
              <w:keepNext/>
              <w:widowControl w:val="0"/>
              <w:spacing w:after="0"/>
              <w:jc w:val="center"/>
            </w:pPr>
            <w:r>
              <w:t>6.2%</w:t>
            </w:r>
          </w:p>
        </w:tc>
      </w:tr>
    </w:tbl>
    <w:p w14:paraId="2B9A7293" w14:textId="77777777" w:rsidR="00205DC6" w:rsidRDefault="00205DC6" w:rsidP="008C1150">
      <w:pPr>
        <w:pStyle w:val="Caption"/>
        <w:ind w:left="0"/>
      </w:pPr>
    </w:p>
    <w:p w14:paraId="768A795F" w14:textId="68BEEE51" w:rsidR="001D0A5B" w:rsidRDefault="00C15842" w:rsidP="008C1150">
      <w:pPr>
        <w:pStyle w:val="Caption"/>
        <w:ind w:left="0"/>
      </w:pPr>
      <w:bookmarkStart w:id="9" w:name="_Ref396401895"/>
      <w:r>
        <w:t xml:space="preserve">Table </w:t>
      </w:r>
      <w:r w:rsidR="0059426A">
        <w:fldChar w:fldCharType="begin"/>
      </w:r>
      <w:r w:rsidR="0059426A">
        <w:instrText xml:space="preserve"> SEQ Table \* ARABIC </w:instrText>
      </w:r>
      <w:r w:rsidR="0059426A">
        <w:fldChar w:fldCharType="separate"/>
      </w:r>
      <w:r w:rsidR="002A7BC0">
        <w:rPr>
          <w:noProof/>
        </w:rPr>
        <w:t>2</w:t>
      </w:r>
      <w:r w:rsidR="0059426A">
        <w:rPr>
          <w:noProof/>
        </w:rPr>
        <w:fldChar w:fldCharType="end"/>
      </w:r>
      <w:bookmarkEnd w:id="8"/>
      <w:bookmarkEnd w:id="9"/>
      <w:r>
        <w:t xml:space="preserve">: </w:t>
      </w:r>
      <w:r w:rsidR="008C1150">
        <w:t>Probabilities of co-TSC.</w:t>
      </w:r>
    </w:p>
    <w:p w14:paraId="26999E5E" w14:textId="5FEE1F33" w:rsidR="008C1150" w:rsidRDefault="001D0A5B" w:rsidP="005234C8">
      <w:pPr>
        <w:pStyle w:val="Heading2"/>
      </w:pPr>
      <w:r>
        <w:t xml:space="preserve">       </w:t>
      </w:r>
      <w:r w:rsidR="00677CCA">
        <w:t>Link level simulations</w:t>
      </w:r>
    </w:p>
    <w:p w14:paraId="24049C55" w14:textId="36A47D71" w:rsidR="00677CCA" w:rsidRDefault="00677CCA" w:rsidP="001E6D38">
      <w:pPr>
        <w:pStyle w:val="BodyText"/>
      </w:pPr>
      <w:r>
        <w:t xml:space="preserve">Based on the statistics derived in section </w:t>
      </w:r>
      <w:r>
        <w:fldChar w:fldCharType="begin"/>
      </w:r>
      <w:r>
        <w:instrText xml:space="preserve"> REF _Ref396332541 \r \h </w:instrText>
      </w:r>
      <w:r w:rsidR="001E6D38">
        <w:instrText xml:space="preserve"> \* MERGEFORMAT </w:instrText>
      </w:r>
      <w:r>
        <w:fldChar w:fldCharType="separate"/>
      </w:r>
      <w:r w:rsidR="002A7BC0">
        <w:t>2.2</w:t>
      </w:r>
      <w:r>
        <w:fldChar w:fldCharType="end"/>
      </w:r>
      <w:r>
        <w:t>, an interference model is built and used in link simulations.</w:t>
      </w:r>
    </w:p>
    <w:p w14:paraId="2B8A20E1" w14:textId="6C3F7C9A" w:rsidR="00677CCA" w:rsidRDefault="00677CCA" w:rsidP="005234C8">
      <w:pPr>
        <w:pStyle w:val="Heading3"/>
      </w:pPr>
      <w:bookmarkStart w:id="10" w:name="_Ref396644406"/>
      <w:r>
        <w:t>Interference model</w:t>
      </w:r>
      <w:bookmarkEnd w:id="10"/>
    </w:p>
    <w:p w14:paraId="6D1C2835" w14:textId="77F80DD6" w:rsidR="00677CCA" w:rsidRDefault="00677CCA" w:rsidP="001E6D38">
      <w:pPr>
        <w:pStyle w:val="BodyText"/>
      </w:pPr>
      <w:r>
        <w:t xml:space="preserve">The interference model consists of two CCI interferers, two ACI+ interferers and two ACI- interferers. Their relative strengths (before fast fading) are set according to </w:t>
      </w:r>
      <w:r>
        <w:fldChar w:fldCharType="begin"/>
      </w:r>
      <w:r>
        <w:instrText xml:space="preserve"> REF _Ref396324807 \h </w:instrText>
      </w:r>
      <w:r w:rsidR="001E6D38">
        <w:instrText xml:space="preserve"> \* MERGEFORMAT </w:instrText>
      </w:r>
      <w:r>
        <w:fldChar w:fldCharType="separate"/>
      </w:r>
      <w:r w:rsidR="002A7BC0">
        <w:t xml:space="preserve">Figure </w:t>
      </w:r>
      <w:r w:rsidR="002A7BC0">
        <w:rPr>
          <w:noProof/>
        </w:rPr>
        <w:t>2</w:t>
      </w:r>
      <w:r>
        <w:fldChar w:fldCharType="end"/>
      </w:r>
      <w:r>
        <w:t xml:space="preserve"> (for uplink simulations) and </w:t>
      </w:r>
      <w:r>
        <w:fldChar w:fldCharType="begin"/>
      </w:r>
      <w:r>
        <w:instrText xml:space="preserve"> REF _Ref396324809 \h </w:instrText>
      </w:r>
      <w:r w:rsidR="001E6D38">
        <w:instrText xml:space="preserve"> \* MERGEFORMAT </w:instrText>
      </w:r>
      <w:r>
        <w:fldChar w:fldCharType="separate"/>
      </w:r>
      <w:r w:rsidR="002A7BC0">
        <w:t xml:space="preserve">Figure </w:t>
      </w:r>
      <w:r w:rsidR="002A7BC0">
        <w:rPr>
          <w:noProof/>
        </w:rPr>
        <w:t>3</w:t>
      </w:r>
      <w:r>
        <w:fldChar w:fldCharType="end"/>
      </w:r>
      <w:r>
        <w:t xml:space="preserve"> (for downlink simulations) depending on the </w:t>
      </w:r>
      <w:proofErr w:type="gramStart"/>
      <w:r>
        <w:t>C/I</w:t>
      </w:r>
      <w:proofErr w:type="gramEnd"/>
      <w:r>
        <w:t>.</w:t>
      </w:r>
    </w:p>
    <w:p w14:paraId="4FAAECB4" w14:textId="32714C14" w:rsidR="009D5905" w:rsidRDefault="009D5905" w:rsidP="001E6D38">
      <w:pPr>
        <w:pStyle w:val="BodyText"/>
      </w:pPr>
      <w:r>
        <w:t xml:space="preserve">The CCI interferers </w:t>
      </w:r>
      <w:r w:rsidR="00705F62">
        <w:t xml:space="preserve">randomly </w:t>
      </w:r>
      <w:r>
        <w:t xml:space="preserve">use the same TSC as the carrier with probabilities given in </w:t>
      </w:r>
      <w:r w:rsidR="00D12292">
        <w:fldChar w:fldCharType="begin"/>
      </w:r>
      <w:r w:rsidR="00D12292">
        <w:instrText xml:space="preserve"> REF _Ref396401895 \h </w:instrText>
      </w:r>
      <w:r w:rsidR="001E6D38">
        <w:instrText xml:space="preserve"> \* MERGEFORMAT </w:instrText>
      </w:r>
      <w:r w:rsidR="00D12292">
        <w:fldChar w:fldCharType="separate"/>
      </w:r>
      <w:r w:rsidR="002A7BC0">
        <w:t xml:space="preserve">Table </w:t>
      </w:r>
      <w:r w:rsidR="002A7BC0">
        <w:rPr>
          <w:noProof/>
        </w:rPr>
        <w:t>2</w:t>
      </w:r>
      <w:r w:rsidR="00D12292">
        <w:fldChar w:fldCharType="end"/>
      </w:r>
      <w:r w:rsidR="00611B61">
        <w:t xml:space="preserve"> for a given configuration (in total there are 12 configurations in </w:t>
      </w:r>
      <w:r w:rsidR="00611B61">
        <w:fldChar w:fldCharType="begin"/>
      </w:r>
      <w:r w:rsidR="00611B61">
        <w:instrText xml:space="preserve"> REF _Ref396401895 \h </w:instrText>
      </w:r>
      <w:r w:rsidR="001E6D38">
        <w:instrText xml:space="preserve"> \* MERGEFORMAT </w:instrText>
      </w:r>
      <w:r w:rsidR="00611B61">
        <w:fldChar w:fldCharType="separate"/>
      </w:r>
      <w:r w:rsidR="002A7BC0">
        <w:t xml:space="preserve">Table </w:t>
      </w:r>
      <w:r w:rsidR="002A7BC0">
        <w:rPr>
          <w:noProof/>
        </w:rPr>
        <w:t>2</w:t>
      </w:r>
      <w:r w:rsidR="00611B61">
        <w:fldChar w:fldCharType="end"/>
      </w:r>
      <w:r w:rsidR="00611B61">
        <w:t xml:space="preserve"> – two link directions, two different TSC plans and three different percentiles)</w:t>
      </w:r>
      <w:r>
        <w:t xml:space="preserve">. When the co-TSC is not chosen, one of the other </w:t>
      </w:r>
      <w:r w:rsidR="00705F62">
        <w:t xml:space="preserve">TSCs </w:t>
      </w:r>
      <w:r>
        <w:t xml:space="preserve">(7 or 15 </w:t>
      </w:r>
      <w:r w:rsidR="00705F62">
        <w:t xml:space="preserve">other, </w:t>
      </w:r>
      <w:r>
        <w:t>depending on the used TSC plan) is chosen randomly with a uniform distribution. The ACI interferers randomly choose a TSC from all available (8 or 16) TSCs. The carrier always uses TSC 0 from legacy set 1.</w:t>
      </w:r>
    </w:p>
    <w:p w14:paraId="4CA06EED" w14:textId="3F805F27" w:rsidR="00B15BF6" w:rsidRDefault="00B15BF6" w:rsidP="001E6D38">
      <w:pPr>
        <w:pStyle w:val="BodyText"/>
      </w:pPr>
      <w:r>
        <w:t xml:space="preserve">In the 16 TSC plan case, the GMSK TSC Set 3 in </w:t>
      </w:r>
      <w:r>
        <w:fldChar w:fldCharType="begin"/>
      </w:r>
      <w:r>
        <w:instrText xml:space="preserve"> REF _Ref396241139 \r \h </w:instrText>
      </w:r>
      <w:r w:rsidR="001E6D38">
        <w:instrText xml:space="preserve"> \* MERGEFORMAT </w:instrText>
      </w:r>
      <w:r>
        <w:fldChar w:fldCharType="separate"/>
      </w:r>
      <w:r w:rsidR="002A7BC0">
        <w:t>[3]</w:t>
      </w:r>
      <w:r>
        <w:fldChar w:fldCharType="end"/>
      </w:r>
      <w:r>
        <w:t xml:space="preserve"> is used in addition to the legacy GMSK TSC Set 1.</w:t>
      </w:r>
    </w:p>
    <w:p w14:paraId="2EE622C1" w14:textId="1CE79980" w:rsidR="009D5905" w:rsidRDefault="009D5905" w:rsidP="001E6D38">
      <w:pPr>
        <w:pStyle w:val="BodyText"/>
      </w:pPr>
      <w:r>
        <w:t>All interferers are GMSK modulated. The NewToN propagation delay models are used.</w:t>
      </w:r>
    </w:p>
    <w:p w14:paraId="2FB0638B" w14:textId="067A80AD" w:rsidR="009D5905" w:rsidRDefault="009D5905" w:rsidP="005234C8">
      <w:pPr>
        <w:pStyle w:val="Heading3"/>
      </w:pPr>
      <w:r>
        <w:t>Other simulation parameters</w:t>
      </w:r>
    </w:p>
    <w:p w14:paraId="7BF87A58" w14:textId="3868D922" w:rsidR="009D5905" w:rsidRDefault="00CD5A4B" w:rsidP="009D5905">
      <w:pPr>
        <w:pStyle w:val="BodyText"/>
      </w:pPr>
      <w:r>
        <w:t xml:space="preserve">Other simulation parameters are listed in </w:t>
      </w:r>
      <w:r>
        <w:fldChar w:fldCharType="begin"/>
      </w:r>
      <w:r>
        <w:instrText xml:space="preserve"> REF _Ref396333606 \h </w:instrText>
      </w:r>
      <w:r>
        <w:fldChar w:fldCharType="separate"/>
      </w:r>
      <w:r w:rsidR="002A7BC0">
        <w:t xml:space="preserve">Table </w:t>
      </w:r>
      <w:r w:rsidR="002A7BC0">
        <w:rPr>
          <w:noProof/>
        </w:rPr>
        <w:t>3</w:t>
      </w:r>
      <w:r>
        <w:fldChar w:fldCharType="end"/>
      </w:r>
      <w:r>
        <w:t>.</w:t>
      </w:r>
    </w:p>
    <w:p w14:paraId="12BAB734" w14:textId="77777777" w:rsidR="00D94D0E" w:rsidRDefault="00D94D0E" w:rsidP="00D94D0E">
      <w:pPr>
        <w:pStyle w:val="Caption"/>
        <w:keepNext/>
        <w:ind w:left="0"/>
      </w:pPr>
      <w:bookmarkStart w:id="11" w:name="_Ref396333606"/>
      <w:proofErr w:type="gramStart"/>
      <w:r>
        <w:lastRenderedPageBreak/>
        <w:t xml:space="preserve">Table </w:t>
      </w:r>
      <w:r w:rsidR="0059426A">
        <w:fldChar w:fldCharType="begin"/>
      </w:r>
      <w:r w:rsidR="0059426A">
        <w:instrText xml:space="preserve"> SEQ Table \* ARABIC </w:instrText>
      </w:r>
      <w:r w:rsidR="0059426A">
        <w:fldChar w:fldCharType="separate"/>
      </w:r>
      <w:r w:rsidR="002A7BC0">
        <w:rPr>
          <w:noProof/>
        </w:rPr>
        <w:t>3</w:t>
      </w:r>
      <w:r w:rsidR="0059426A">
        <w:rPr>
          <w:noProof/>
        </w:rPr>
        <w:fldChar w:fldCharType="end"/>
      </w:r>
      <w:bookmarkEnd w:id="11"/>
      <w:r>
        <w:t>: Parameters for the link simulations.</w:t>
      </w:r>
      <w:proofErr w:type="gramEnd"/>
    </w:p>
    <w:tbl>
      <w:tblPr>
        <w:tblStyle w:val="TableGrid"/>
        <w:tblW w:w="0" w:type="auto"/>
        <w:tblInd w:w="2660" w:type="dxa"/>
        <w:tblLook w:val="04A0" w:firstRow="1" w:lastRow="0" w:firstColumn="1" w:lastColumn="0" w:noHBand="0" w:noVBand="1"/>
      </w:tblPr>
      <w:tblGrid>
        <w:gridCol w:w="1701"/>
        <w:gridCol w:w="1843"/>
      </w:tblGrid>
      <w:tr w:rsidR="009D5905" w14:paraId="43D244BE" w14:textId="77777777" w:rsidTr="00387DE3">
        <w:tc>
          <w:tcPr>
            <w:tcW w:w="1701" w:type="dxa"/>
            <w:shd w:val="clear" w:color="auto" w:fill="DAEEF3" w:themeFill="accent5" w:themeFillTint="33"/>
          </w:tcPr>
          <w:p w14:paraId="4C5BD8F5" w14:textId="3C359F87" w:rsidR="009D5905" w:rsidRDefault="009D5905" w:rsidP="00D94D0E">
            <w:pPr>
              <w:pStyle w:val="BodyText"/>
              <w:keepNext/>
              <w:jc w:val="left"/>
            </w:pPr>
            <w:r>
              <w:t>Parameter</w:t>
            </w:r>
          </w:p>
        </w:tc>
        <w:tc>
          <w:tcPr>
            <w:tcW w:w="1843" w:type="dxa"/>
            <w:shd w:val="clear" w:color="auto" w:fill="DAEEF3" w:themeFill="accent5" w:themeFillTint="33"/>
          </w:tcPr>
          <w:p w14:paraId="7A9F1414" w14:textId="7035E4FE" w:rsidR="009D5905" w:rsidRDefault="009D5905" w:rsidP="00D94D0E">
            <w:pPr>
              <w:pStyle w:val="BodyText"/>
              <w:keepNext/>
              <w:jc w:val="left"/>
            </w:pPr>
            <w:r>
              <w:t>Value</w:t>
            </w:r>
          </w:p>
        </w:tc>
      </w:tr>
      <w:tr w:rsidR="009D5905" w14:paraId="61F7A064" w14:textId="77777777" w:rsidTr="00387DE3">
        <w:tc>
          <w:tcPr>
            <w:tcW w:w="1701" w:type="dxa"/>
          </w:tcPr>
          <w:p w14:paraId="74A40210" w14:textId="7C55E168" w:rsidR="009D5905" w:rsidRDefault="009D5905" w:rsidP="00D94D0E">
            <w:pPr>
              <w:pStyle w:val="BodyText"/>
              <w:keepNext/>
              <w:jc w:val="left"/>
            </w:pPr>
            <w:r>
              <w:t>Channel model</w:t>
            </w:r>
          </w:p>
        </w:tc>
        <w:tc>
          <w:tcPr>
            <w:tcW w:w="1843" w:type="dxa"/>
          </w:tcPr>
          <w:p w14:paraId="52F0263C" w14:textId="0679E5B3" w:rsidR="009D5905" w:rsidRDefault="001E6D38" w:rsidP="001E6D38">
            <w:pPr>
              <w:pStyle w:val="BodyText"/>
              <w:keepNext/>
              <w:jc w:val="left"/>
            </w:pPr>
            <w:r>
              <w:t>TU50</w:t>
            </w:r>
            <w:r w:rsidR="009D5905">
              <w:t>nFH</w:t>
            </w:r>
          </w:p>
        </w:tc>
      </w:tr>
      <w:tr w:rsidR="009D5905" w14:paraId="7BE5E1A9" w14:textId="77777777" w:rsidTr="00387DE3">
        <w:tc>
          <w:tcPr>
            <w:tcW w:w="1701" w:type="dxa"/>
          </w:tcPr>
          <w:p w14:paraId="73D0F8F0" w14:textId="14CDC6DF" w:rsidR="009D5905" w:rsidRDefault="009D5905" w:rsidP="00D94D0E">
            <w:pPr>
              <w:pStyle w:val="BodyText"/>
              <w:keepNext/>
              <w:jc w:val="left"/>
            </w:pPr>
            <w:r>
              <w:t>Frequency band</w:t>
            </w:r>
          </w:p>
        </w:tc>
        <w:tc>
          <w:tcPr>
            <w:tcW w:w="1843" w:type="dxa"/>
          </w:tcPr>
          <w:p w14:paraId="32EAFC82" w14:textId="35530E10" w:rsidR="009D5905" w:rsidRDefault="009D5905" w:rsidP="00D94D0E">
            <w:pPr>
              <w:pStyle w:val="BodyText"/>
              <w:keepNext/>
              <w:jc w:val="left"/>
            </w:pPr>
            <w:r>
              <w:t>900 MHz</w:t>
            </w:r>
          </w:p>
        </w:tc>
      </w:tr>
      <w:tr w:rsidR="009D5905" w14:paraId="40E56A8E" w14:textId="77777777" w:rsidTr="00387DE3">
        <w:tc>
          <w:tcPr>
            <w:tcW w:w="1701" w:type="dxa"/>
          </w:tcPr>
          <w:p w14:paraId="3D0F19D0" w14:textId="2ED7B64D" w:rsidR="009D5905" w:rsidRDefault="004E524A" w:rsidP="00D94D0E">
            <w:pPr>
              <w:pStyle w:val="BodyText"/>
              <w:keepNext/>
              <w:jc w:val="left"/>
            </w:pPr>
            <w:r>
              <w:t>Channel coding</w:t>
            </w:r>
          </w:p>
        </w:tc>
        <w:tc>
          <w:tcPr>
            <w:tcW w:w="1843" w:type="dxa"/>
          </w:tcPr>
          <w:p w14:paraId="075E1F5A" w14:textId="6EC0FE39" w:rsidR="00387DE3" w:rsidRPr="00387DE3" w:rsidRDefault="003671EA" w:rsidP="00387DE3">
            <w:pPr>
              <w:pStyle w:val="BodyText"/>
              <w:keepNext/>
              <w:jc w:val="left"/>
              <w:rPr>
                <w:color w:val="FF0000"/>
              </w:rPr>
            </w:pPr>
            <w:r>
              <w:rPr>
                <w:color w:val="FF0000"/>
              </w:rPr>
              <w:t>AFS4.75</w:t>
            </w:r>
            <w:r>
              <w:rPr>
                <w:color w:val="FF0000"/>
              </w:rPr>
              <w:br/>
              <w:t>AFS5.90</w:t>
            </w:r>
            <w:r>
              <w:rPr>
                <w:color w:val="FF0000"/>
              </w:rPr>
              <w:br/>
            </w:r>
            <w:r w:rsidR="004E524A" w:rsidRPr="00387DE3">
              <w:rPr>
                <w:color w:val="FF0000"/>
              </w:rPr>
              <w:t>AFS</w:t>
            </w:r>
            <w:r w:rsidR="00387DE3" w:rsidRPr="00387DE3">
              <w:rPr>
                <w:color w:val="FF0000"/>
              </w:rPr>
              <w:t>7.95</w:t>
            </w:r>
            <w:r w:rsidR="00387DE3">
              <w:rPr>
                <w:color w:val="FF0000"/>
              </w:rPr>
              <w:br/>
            </w:r>
            <w:r w:rsidR="00387DE3" w:rsidRPr="00387DE3">
              <w:rPr>
                <w:color w:val="FF0000"/>
              </w:rPr>
              <w:t>AFS12.2</w:t>
            </w:r>
          </w:p>
        </w:tc>
      </w:tr>
      <w:tr w:rsidR="004E524A" w14:paraId="343C6BB2" w14:textId="77777777" w:rsidTr="00387DE3">
        <w:tc>
          <w:tcPr>
            <w:tcW w:w="1701" w:type="dxa"/>
          </w:tcPr>
          <w:p w14:paraId="4663F60B" w14:textId="65A5A626" w:rsidR="004E524A" w:rsidRDefault="004E524A" w:rsidP="00D94D0E">
            <w:pPr>
              <w:pStyle w:val="BodyText"/>
              <w:keepNext/>
              <w:jc w:val="left"/>
            </w:pPr>
            <w:r>
              <w:t>Receiver</w:t>
            </w:r>
          </w:p>
        </w:tc>
        <w:tc>
          <w:tcPr>
            <w:tcW w:w="1843" w:type="dxa"/>
          </w:tcPr>
          <w:p w14:paraId="03E2F0CC" w14:textId="29D041A9" w:rsidR="004E524A" w:rsidRDefault="004E524A" w:rsidP="00D94D0E">
            <w:pPr>
              <w:pStyle w:val="BodyText"/>
              <w:keepNext/>
              <w:jc w:val="left"/>
            </w:pPr>
            <w:r>
              <w:t>DL: SAIC</w:t>
            </w:r>
            <w:r>
              <w:br/>
              <w:t>UL: IRC</w:t>
            </w:r>
          </w:p>
        </w:tc>
      </w:tr>
      <w:tr w:rsidR="004E524A" w14:paraId="575688C8" w14:textId="77777777" w:rsidTr="00387DE3">
        <w:tc>
          <w:tcPr>
            <w:tcW w:w="1701" w:type="dxa"/>
          </w:tcPr>
          <w:p w14:paraId="7ABA4175" w14:textId="2DCA3939" w:rsidR="004E524A" w:rsidRDefault="004E524A" w:rsidP="00D94D0E">
            <w:pPr>
              <w:pStyle w:val="BodyText"/>
              <w:keepNext/>
              <w:jc w:val="left"/>
            </w:pPr>
            <w:r>
              <w:t>TX impairments</w:t>
            </w:r>
          </w:p>
        </w:tc>
        <w:tc>
          <w:tcPr>
            <w:tcW w:w="1843" w:type="dxa"/>
          </w:tcPr>
          <w:p w14:paraId="566E0F87" w14:textId="2B6F44A3" w:rsidR="004E524A" w:rsidRDefault="004E524A" w:rsidP="00D94D0E">
            <w:pPr>
              <w:pStyle w:val="BodyText"/>
              <w:keepNext/>
              <w:jc w:val="left"/>
            </w:pPr>
            <w:r>
              <w:t>Typical</w:t>
            </w:r>
          </w:p>
        </w:tc>
      </w:tr>
      <w:tr w:rsidR="004E524A" w14:paraId="749073BB" w14:textId="77777777" w:rsidTr="00387DE3">
        <w:tc>
          <w:tcPr>
            <w:tcW w:w="1701" w:type="dxa"/>
          </w:tcPr>
          <w:p w14:paraId="5FB42C05" w14:textId="64B4B89B" w:rsidR="004E524A" w:rsidRDefault="004E524A" w:rsidP="00D94D0E">
            <w:pPr>
              <w:pStyle w:val="BodyText"/>
              <w:keepNext/>
              <w:jc w:val="left"/>
            </w:pPr>
            <w:r>
              <w:t>RX impairments</w:t>
            </w:r>
          </w:p>
        </w:tc>
        <w:tc>
          <w:tcPr>
            <w:tcW w:w="1843" w:type="dxa"/>
          </w:tcPr>
          <w:p w14:paraId="1E09AF22" w14:textId="2C6A279E" w:rsidR="004E524A" w:rsidRDefault="004E524A" w:rsidP="00D94D0E">
            <w:pPr>
              <w:pStyle w:val="BodyText"/>
              <w:keepNext/>
              <w:jc w:val="left"/>
            </w:pPr>
            <w:r>
              <w:t>Typical</w:t>
            </w:r>
          </w:p>
        </w:tc>
      </w:tr>
      <w:tr w:rsidR="004E524A" w14:paraId="04E871A6" w14:textId="77777777" w:rsidTr="00387DE3">
        <w:tc>
          <w:tcPr>
            <w:tcW w:w="1701" w:type="dxa"/>
          </w:tcPr>
          <w:p w14:paraId="6B871952" w14:textId="69B88D7B" w:rsidR="004E524A" w:rsidRDefault="00CD5A4B" w:rsidP="009B4E56">
            <w:pPr>
              <w:pStyle w:val="BodyText"/>
              <w:keepNext/>
              <w:jc w:val="left"/>
            </w:pPr>
            <w:r>
              <w:t>Number of speech frames</w:t>
            </w:r>
          </w:p>
        </w:tc>
        <w:tc>
          <w:tcPr>
            <w:tcW w:w="1843" w:type="dxa"/>
          </w:tcPr>
          <w:p w14:paraId="38E3595F" w14:textId="5E4FB102" w:rsidR="004E524A" w:rsidRDefault="00CD5A4B" w:rsidP="009B4E56">
            <w:pPr>
              <w:pStyle w:val="BodyText"/>
              <w:keepNext/>
              <w:jc w:val="left"/>
            </w:pPr>
            <w:r>
              <w:t>10000</w:t>
            </w:r>
          </w:p>
        </w:tc>
      </w:tr>
    </w:tbl>
    <w:p w14:paraId="295EC877" w14:textId="1D850D6E" w:rsidR="00CD5A4B" w:rsidRPr="005234C8" w:rsidRDefault="00CD5A4B" w:rsidP="005234C8">
      <w:pPr>
        <w:pStyle w:val="Heading3"/>
      </w:pPr>
      <w:r w:rsidRPr="005234C8">
        <w:t>Results and discussion</w:t>
      </w:r>
    </w:p>
    <w:p w14:paraId="2A2E27ED" w14:textId="05EB0F60" w:rsidR="002A7BC0" w:rsidRPr="002A7BC0" w:rsidRDefault="00CD5A4B" w:rsidP="00CD5A4B">
      <w:pPr>
        <w:pStyle w:val="BodyText"/>
        <w:rPr>
          <w:color w:val="FF0000"/>
        </w:rPr>
      </w:pPr>
      <w:r w:rsidRPr="002A7BC0">
        <w:rPr>
          <w:color w:val="FF0000"/>
        </w:rPr>
        <w:t>Plots of class 1A FER versus C/I are shown in</w:t>
      </w:r>
      <w:r w:rsidR="002A7BC0" w:rsidRPr="002A7BC0">
        <w:rPr>
          <w:color w:val="FF0000"/>
        </w:rPr>
        <w:t xml:space="preserve"> Annex</w:t>
      </w:r>
      <w:r w:rsidRPr="002A7BC0">
        <w:rPr>
          <w:color w:val="FF0000"/>
        </w:rPr>
        <w:t xml:space="preserve"> </w:t>
      </w:r>
      <w:r w:rsidR="002A7BC0" w:rsidRPr="002A7BC0">
        <w:rPr>
          <w:color w:val="FF0000"/>
        </w:rPr>
        <w:t xml:space="preserve">B (Section </w:t>
      </w:r>
      <w:r w:rsidR="002A7BC0" w:rsidRPr="002A7BC0">
        <w:rPr>
          <w:color w:val="FF0000"/>
        </w:rPr>
        <w:fldChar w:fldCharType="begin"/>
      </w:r>
      <w:r w:rsidR="002A7BC0" w:rsidRPr="002A7BC0">
        <w:rPr>
          <w:color w:val="FF0000"/>
        </w:rPr>
        <w:instrText xml:space="preserve"> REF _Ref403487103 \r \h </w:instrText>
      </w:r>
      <w:r w:rsidR="002A7BC0" w:rsidRPr="002A7BC0">
        <w:rPr>
          <w:color w:val="FF0000"/>
        </w:rPr>
      </w:r>
      <w:r w:rsidR="002A7BC0" w:rsidRPr="002A7BC0">
        <w:rPr>
          <w:color w:val="FF0000"/>
        </w:rPr>
        <w:fldChar w:fldCharType="separate"/>
      </w:r>
      <w:r w:rsidR="002A7BC0" w:rsidRPr="002A7BC0">
        <w:rPr>
          <w:color w:val="FF0000"/>
        </w:rPr>
        <w:t>8</w:t>
      </w:r>
      <w:r w:rsidR="002A7BC0" w:rsidRPr="002A7BC0">
        <w:rPr>
          <w:color w:val="FF0000"/>
        </w:rPr>
        <w:fldChar w:fldCharType="end"/>
      </w:r>
      <w:r w:rsidR="002A7BC0" w:rsidRPr="002A7BC0">
        <w:rPr>
          <w:color w:val="FF0000"/>
        </w:rPr>
        <w:t>)</w:t>
      </w:r>
      <w:r w:rsidRPr="002A7BC0">
        <w:rPr>
          <w:color w:val="FF0000"/>
        </w:rPr>
        <w:t xml:space="preserve"> for </w:t>
      </w:r>
      <w:r w:rsidR="002A7BC0" w:rsidRPr="002A7BC0">
        <w:rPr>
          <w:color w:val="FF0000"/>
        </w:rPr>
        <w:t xml:space="preserve">both </w:t>
      </w:r>
      <w:r w:rsidRPr="002A7BC0">
        <w:rPr>
          <w:color w:val="FF0000"/>
        </w:rPr>
        <w:t xml:space="preserve">uplink and downlink. </w:t>
      </w:r>
      <w:r w:rsidR="002A7BC0" w:rsidRPr="002A7BC0">
        <w:rPr>
          <w:color w:val="FF0000"/>
        </w:rPr>
        <w:t xml:space="preserve">The gains at 1% FER are collected from all scenarios into a CDF in </w:t>
      </w:r>
      <w:r w:rsidR="002A7BC0" w:rsidRPr="002A7BC0">
        <w:rPr>
          <w:color w:val="FF0000"/>
        </w:rPr>
        <w:fldChar w:fldCharType="begin"/>
      </w:r>
      <w:r w:rsidR="002A7BC0" w:rsidRPr="002A7BC0">
        <w:rPr>
          <w:color w:val="FF0000"/>
        </w:rPr>
        <w:instrText xml:space="preserve"> REF _Ref396333760 \h </w:instrText>
      </w:r>
      <w:r w:rsidR="002A7BC0" w:rsidRPr="002A7BC0">
        <w:rPr>
          <w:color w:val="FF0000"/>
        </w:rPr>
      </w:r>
      <w:r w:rsidR="002A7BC0" w:rsidRPr="002A7BC0">
        <w:rPr>
          <w:color w:val="FF0000"/>
        </w:rPr>
        <w:fldChar w:fldCharType="separate"/>
      </w:r>
      <w:r w:rsidR="002A7BC0" w:rsidRPr="002A7BC0">
        <w:rPr>
          <w:color w:val="FF0000"/>
        </w:rPr>
        <w:t xml:space="preserve">Figure </w:t>
      </w:r>
      <w:r w:rsidR="002A7BC0" w:rsidRPr="002A7BC0">
        <w:rPr>
          <w:noProof/>
          <w:color w:val="FF0000"/>
        </w:rPr>
        <w:t>6</w:t>
      </w:r>
      <w:r w:rsidR="002A7BC0" w:rsidRPr="002A7BC0">
        <w:rPr>
          <w:color w:val="FF0000"/>
        </w:rPr>
        <w:fldChar w:fldCharType="end"/>
      </w:r>
      <w:r w:rsidR="002A7BC0" w:rsidRPr="002A7BC0">
        <w:rPr>
          <w:color w:val="FF0000"/>
        </w:rPr>
        <w:t>.</w:t>
      </w:r>
    </w:p>
    <w:p w14:paraId="343D5246" w14:textId="38DA1020" w:rsidR="00CD5A4B" w:rsidRPr="002A7BC0" w:rsidRDefault="00CD5A4B" w:rsidP="00CD5A4B">
      <w:pPr>
        <w:pStyle w:val="BodyText"/>
        <w:rPr>
          <w:color w:val="FF0000"/>
        </w:rPr>
      </w:pPr>
      <w:r w:rsidRPr="002A7BC0">
        <w:rPr>
          <w:color w:val="FF0000"/>
        </w:rPr>
        <w:t xml:space="preserve">It is evident that even though </w:t>
      </w:r>
      <w:r w:rsidR="00150DB2" w:rsidRPr="002A7BC0">
        <w:rPr>
          <w:color w:val="FF0000"/>
        </w:rPr>
        <w:t xml:space="preserve">the co-TSC probabilities are much smaller than in </w:t>
      </w:r>
      <w:r w:rsidR="00611B61" w:rsidRPr="002A7BC0">
        <w:rPr>
          <w:color w:val="FF0000"/>
        </w:rPr>
        <w:t xml:space="preserve">the 100% co-TSC scenario in </w:t>
      </w:r>
      <w:r w:rsidR="00150DB2" w:rsidRPr="002A7BC0">
        <w:rPr>
          <w:color w:val="FF0000"/>
        </w:rPr>
        <w:fldChar w:fldCharType="begin"/>
      </w:r>
      <w:r w:rsidR="00150DB2" w:rsidRPr="002A7BC0">
        <w:rPr>
          <w:color w:val="FF0000"/>
        </w:rPr>
        <w:instrText xml:space="preserve"> REF _Ref396319352 \h </w:instrText>
      </w:r>
      <w:r w:rsidR="00150DB2" w:rsidRPr="002A7BC0">
        <w:rPr>
          <w:color w:val="FF0000"/>
        </w:rPr>
      </w:r>
      <w:r w:rsidR="00150DB2" w:rsidRPr="002A7BC0">
        <w:rPr>
          <w:color w:val="FF0000"/>
        </w:rPr>
        <w:fldChar w:fldCharType="separate"/>
      </w:r>
      <w:r w:rsidR="002A7BC0" w:rsidRPr="002A7BC0">
        <w:rPr>
          <w:color w:val="FF0000"/>
        </w:rPr>
        <w:t xml:space="preserve">Figure </w:t>
      </w:r>
      <w:r w:rsidR="002A7BC0" w:rsidRPr="002A7BC0">
        <w:rPr>
          <w:noProof/>
          <w:color w:val="FF0000"/>
        </w:rPr>
        <w:t>1</w:t>
      </w:r>
      <w:r w:rsidR="00150DB2" w:rsidRPr="002A7BC0">
        <w:rPr>
          <w:color w:val="FF0000"/>
        </w:rPr>
        <w:fldChar w:fldCharType="end"/>
      </w:r>
      <w:r w:rsidR="00D3308F" w:rsidRPr="002A7BC0">
        <w:rPr>
          <w:color w:val="FF0000"/>
        </w:rPr>
        <w:t xml:space="preserve">, they have a significant impact on performance. </w:t>
      </w:r>
      <w:r w:rsidR="002A7BC0" w:rsidRPr="002A7BC0">
        <w:rPr>
          <w:color w:val="FF0000"/>
        </w:rPr>
        <w:t xml:space="preserve">The average gain seen is roughly 2 </w:t>
      </w:r>
      <w:proofErr w:type="spellStart"/>
      <w:r w:rsidR="002A7BC0" w:rsidRPr="002A7BC0">
        <w:rPr>
          <w:color w:val="FF0000"/>
        </w:rPr>
        <w:t>dB</w:t>
      </w:r>
      <w:r w:rsidR="00D3308F" w:rsidRPr="002A7BC0">
        <w:rPr>
          <w:color w:val="FF0000"/>
        </w:rPr>
        <w:t>.</w:t>
      </w:r>
      <w:proofErr w:type="spellEnd"/>
      <w:r w:rsidR="00433C5D" w:rsidRPr="002A7BC0">
        <w:rPr>
          <w:color w:val="FF0000"/>
        </w:rPr>
        <w:t xml:space="preserve"> This gain is partly due to the reduced co-TSC probability and partly due to the better cross correlation properties of the extended TSC set.</w:t>
      </w:r>
    </w:p>
    <w:p w14:paraId="51ED780A" w14:textId="3C20D171" w:rsidR="002A7BC0" w:rsidRDefault="002A7BC0" w:rsidP="002A7BC0">
      <w:pPr>
        <w:pStyle w:val="BodyText"/>
        <w:jc w:val="center"/>
      </w:pPr>
      <w:r>
        <w:rPr>
          <w:noProof/>
        </w:rPr>
        <w:drawing>
          <wp:inline distT="0" distB="0" distL="0" distR="0" wp14:anchorId="520FB417" wp14:editId="18A71ECF">
            <wp:extent cx="4187118" cy="2792425"/>
            <wp:effectExtent l="0" t="0" r="4445" b="825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4_NewToN_from_system_level_total_CDF.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192035" cy="2795704"/>
                    </a:xfrm>
                    <a:prstGeom prst="rect">
                      <a:avLst/>
                    </a:prstGeom>
                  </pic:spPr>
                </pic:pic>
              </a:graphicData>
            </a:graphic>
          </wp:inline>
        </w:drawing>
      </w:r>
    </w:p>
    <w:p w14:paraId="307C1AC8" w14:textId="3E33D047" w:rsidR="008067A4" w:rsidRDefault="008067A4" w:rsidP="008067A4">
      <w:pPr>
        <w:pStyle w:val="Caption"/>
        <w:ind w:left="0"/>
        <w:rPr>
          <w:lang w:eastAsia="ko-KR"/>
        </w:rPr>
      </w:pPr>
      <w:bookmarkStart w:id="12" w:name="_Ref396333760"/>
      <w:r w:rsidRPr="002A7BC0">
        <w:rPr>
          <w:color w:val="FF0000"/>
        </w:rPr>
        <w:t xml:space="preserve">Figure </w:t>
      </w:r>
      <w:r w:rsidR="00B85E2A" w:rsidRPr="002A7BC0">
        <w:rPr>
          <w:color w:val="FF0000"/>
        </w:rPr>
        <w:fldChar w:fldCharType="begin"/>
      </w:r>
      <w:r w:rsidR="00B85E2A" w:rsidRPr="002A7BC0">
        <w:rPr>
          <w:color w:val="FF0000"/>
        </w:rPr>
        <w:instrText xml:space="preserve"> SEQ Figure \* ARABIC </w:instrText>
      </w:r>
      <w:r w:rsidR="00B85E2A" w:rsidRPr="002A7BC0">
        <w:rPr>
          <w:color w:val="FF0000"/>
        </w:rPr>
        <w:fldChar w:fldCharType="separate"/>
      </w:r>
      <w:r w:rsidR="002A7BC0" w:rsidRPr="002A7BC0">
        <w:rPr>
          <w:noProof/>
          <w:color w:val="FF0000"/>
        </w:rPr>
        <w:t>6</w:t>
      </w:r>
      <w:r w:rsidR="00B85E2A" w:rsidRPr="002A7BC0">
        <w:rPr>
          <w:noProof/>
          <w:color w:val="FF0000"/>
        </w:rPr>
        <w:fldChar w:fldCharType="end"/>
      </w:r>
      <w:bookmarkEnd w:id="12"/>
      <w:r w:rsidRPr="002A7BC0">
        <w:rPr>
          <w:color w:val="FF0000"/>
        </w:rPr>
        <w:t>: FER vs C/I in downlink scenarios</w:t>
      </w:r>
      <w:r w:rsidR="00143205" w:rsidRPr="002A7BC0">
        <w:rPr>
          <w:color w:val="FF0000"/>
        </w:rPr>
        <w:t xml:space="preserve"> </w:t>
      </w:r>
      <w:r w:rsidR="00143205" w:rsidRPr="00143205">
        <w:rPr>
          <w:color w:val="FF0000"/>
        </w:rPr>
        <w:t xml:space="preserve">– AFS4.75, AFS5.90, AFS7.95, </w:t>
      </w:r>
      <w:proofErr w:type="gramStart"/>
      <w:r w:rsidR="00143205" w:rsidRPr="00143205">
        <w:rPr>
          <w:color w:val="FF0000"/>
        </w:rPr>
        <w:t>AFS12.2</w:t>
      </w:r>
      <w:proofErr w:type="gramEnd"/>
      <w:r>
        <w:t>.</w:t>
      </w:r>
    </w:p>
    <w:p w14:paraId="1B4B3F52" w14:textId="7E966928" w:rsidR="00EC4D0C" w:rsidRPr="005234C8" w:rsidRDefault="001C4591" w:rsidP="005234C8">
      <w:pPr>
        <w:pStyle w:val="Heading1"/>
      </w:pPr>
      <w:bookmarkStart w:id="13" w:name="_Ref396765520"/>
      <w:r w:rsidRPr="005234C8">
        <w:lastRenderedPageBreak/>
        <w:t>System level simulations</w:t>
      </w:r>
      <w:bookmarkEnd w:id="13"/>
    </w:p>
    <w:p w14:paraId="3BE4C3D1" w14:textId="6D09EEF4" w:rsidR="00B13A20" w:rsidRPr="005234C8" w:rsidRDefault="00B13A20" w:rsidP="005234C8">
      <w:pPr>
        <w:pStyle w:val="Heading2"/>
      </w:pPr>
      <w:r w:rsidRPr="005234C8">
        <w:t>Introduction</w:t>
      </w:r>
    </w:p>
    <w:p w14:paraId="5916A9D7" w14:textId="68F808FA" w:rsidR="001C4591" w:rsidRDefault="001C4591" w:rsidP="00765DD5">
      <w:pPr>
        <w:pStyle w:val="BodyText"/>
      </w:pPr>
      <w:r>
        <w:t>System level simulations have been carried out using a dynamic system simulator where a link simulator object has been integrated in each radio link to model the link level performance</w:t>
      </w:r>
      <w:r w:rsidR="007034E7">
        <w:t xml:space="preserve"> of each user</w:t>
      </w:r>
      <w:r>
        <w:t xml:space="preserve">. </w:t>
      </w:r>
    </w:p>
    <w:p w14:paraId="1BD0D8F1" w14:textId="361F5FCE" w:rsidR="007034E7" w:rsidRDefault="007034E7" w:rsidP="00765DD5">
      <w:pPr>
        <w:pStyle w:val="BodyText"/>
      </w:pPr>
      <w:r>
        <w:t>Hence, instead of using Link-2-System mappings, which is the conventional method to model radio link performance on system level, the link performance is modeled on IQ-level with demodulators called for each user and each burst.</w:t>
      </w:r>
    </w:p>
    <w:p w14:paraId="42609507" w14:textId="7B1BBFC6" w:rsidR="001C4591" w:rsidRDefault="001C4591" w:rsidP="00765DD5">
      <w:pPr>
        <w:pStyle w:val="BodyText"/>
      </w:pPr>
      <w:r>
        <w:t xml:space="preserve">This allows the </w:t>
      </w:r>
      <w:r w:rsidR="007034E7">
        <w:t xml:space="preserve">evaluation of </w:t>
      </w:r>
      <w:r>
        <w:t xml:space="preserve">system performance to fully </w:t>
      </w:r>
      <w:r w:rsidR="007034E7">
        <w:t>take into account</w:t>
      </w:r>
      <w:r>
        <w:t xml:space="preserve"> complex </w:t>
      </w:r>
      <w:r w:rsidR="007034E7">
        <w:t>aspects such as TSC allocation and their impact on system capacity</w:t>
      </w:r>
      <w:r>
        <w:t>.</w:t>
      </w:r>
    </w:p>
    <w:p w14:paraId="14EE5997" w14:textId="6CA2EFF5" w:rsidR="007034E7" w:rsidRDefault="007034E7" w:rsidP="00765DD5">
      <w:pPr>
        <w:pStyle w:val="BodyText"/>
      </w:pPr>
      <w:r>
        <w:t xml:space="preserve">More details on the methodology and verification of the integrated link simulator </w:t>
      </w:r>
      <w:proofErr w:type="gramStart"/>
      <w:r>
        <w:t>is</w:t>
      </w:r>
      <w:proofErr w:type="gramEnd"/>
      <w:r>
        <w:t xml:space="preserve"> provided in </w:t>
      </w:r>
      <w:r>
        <w:fldChar w:fldCharType="begin"/>
      </w:r>
      <w:r>
        <w:instrText xml:space="preserve"> REF _Ref396643920 \r \h </w:instrText>
      </w:r>
      <w:r w:rsidR="00765DD5">
        <w:instrText xml:space="preserve"> \* MERGEFORMAT </w:instrText>
      </w:r>
      <w:r>
        <w:fldChar w:fldCharType="separate"/>
      </w:r>
      <w:r w:rsidR="002A7BC0">
        <w:t>[4]</w:t>
      </w:r>
      <w:r>
        <w:fldChar w:fldCharType="end"/>
      </w:r>
      <w:r>
        <w:t>.</w:t>
      </w:r>
    </w:p>
    <w:p w14:paraId="31210545" w14:textId="5AD400DB" w:rsidR="00B13A20" w:rsidRPr="005234C8" w:rsidRDefault="00B13A20" w:rsidP="005234C8">
      <w:pPr>
        <w:pStyle w:val="Heading2"/>
      </w:pPr>
      <w:bookmarkStart w:id="14" w:name="_Ref402724757"/>
      <w:r w:rsidRPr="005234C8">
        <w:t>Simulation assumptions</w:t>
      </w:r>
      <w:bookmarkEnd w:id="14"/>
    </w:p>
    <w:p w14:paraId="6D7C5A74" w14:textId="7FE9F555" w:rsidR="00B93439" w:rsidRPr="00ED4181" w:rsidRDefault="00B13A20" w:rsidP="00442EFA">
      <w:pPr>
        <w:rPr>
          <w:color w:val="FF0000"/>
        </w:rPr>
      </w:pPr>
      <w:r w:rsidRPr="00ED4181">
        <w:rPr>
          <w:color w:val="FF0000"/>
        </w:rPr>
        <w:t xml:space="preserve">The same system level </w:t>
      </w:r>
      <w:r w:rsidR="00581F2F" w:rsidRPr="00ED4181">
        <w:rPr>
          <w:color w:val="FF0000"/>
        </w:rPr>
        <w:t xml:space="preserve">configuration as </w:t>
      </w:r>
      <w:r w:rsidR="00581F2F" w:rsidRPr="000440F8">
        <w:rPr>
          <w:color w:val="FF0000"/>
        </w:rPr>
        <w:t xml:space="preserve">presented </w:t>
      </w:r>
      <w:r w:rsidR="00581F2F" w:rsidRPr="00B76286">
        <w:rPr>
          <w:color w:val="FF0000"/>
        </w:rPr>
        <w:t xml:space="preserve">in </w:t>
      </w:r>
      <w:r w:rsidR="00581F2F" w:rsidRPr="00B76286">
        <w:rPr>
          <w:color w:val="FF0000"/>
        </w:rPr>
        <w:fldChar w:fldCharType="begin"/>
      </w:r>
      <w:r w:rsidR="00581F2F" w:rsidRPr="00B76286">
        <w:rPr>
          <w:color w:val="FF0000"/>
        </w:rPr>
        <w:instrText xml:space="preserve"> REF _Ref396323603 \h </w:instrText>
      </w:r>
      <w:r w:rsidR="00581F2F" w:rsidRPr="00B76286">
        <w:rPr>
          <w:color w:val="FF0000"/>
        </w:rPr>
      </w:r>
      <w:r w:rsidR="00581F2F" w:rsidRPr="00B76286">
        <w:rPr>
          <w:color w:val="FF0000"/>
        </w:rPr>
        <w:fldChar w:fldCharType="separate"/>
      </w:r>
      <w:r w:rsidR="002A7BC0" w:rsidRPr="00B76286">
        <w:rPr>
          <w:color w:val="FF0000"/>
        </w:rPr>
        <w:t xml:space="preserve">Table </w:t>
      </w:r>
      <w:r w:rsidR="002A7BC0" w:rsidRPr="00B76286">
        <w:rPr>
          <w:noProof/>
          <w:color w:val="FF0000"/>
        </w:rPr>
        <w:t>1</w:t>
      </w:r>
      <w:r w:rsidR="00581F2F" w:rsidRPr="00B76286">
        <w:rPr>
          <w:color w:val="FF0000"/>
        </w:rPr>
        <w:fldChar w:fldCharType="end"/>
      </w:r>
      <w:r w:rsidR="00581F2F" w:rsidRPr="00B76286">
        <w:rPr>
          <w:color w:val="FF0000"/>
        </w:rPr>
        <w:t xml:space="preserve"> was </w:t>
      </w:r>
      <w:r w:rsidR="00581F2F" w:rsidRPr="00ED4181">
        <w:rPr>
          <w:color w:val="FF0000"/>
        </w:rPr>
        <w:t>used</w:t>
      </w:r>
      <w:r w:rsidR="004C4F3C">
        <w:rPr>
          <w:color w:val="FF0000"/>
        </w:rPr>
        <w:t xml:space="preserve"> to simulate UL network performance.</w:t>
      </w:r>
      <w:r w:rsidR="00581F2F" w:rsidRPr="00ED4181">
        <w:rPr>
          <w:color w:val="FF0000"/>
        </w:rPr>
        <w:t xml:space="preserve"> AFS12.2 was used </w:t>
      </w:r>
      <w:r w:rsidR="00ED4181" w:rsidRPr="00ED4181">
        <w:rPr>
          <w:color w:val="FF0000"/>
        </w:rPr>
        <w:t xml:space="preserve">for the non-VAMOS network performance evaluations and AFS7.95 for the VAMOS network performance evaluations </w:t>
      </w:r>
      <w:r w:rsidR="00581F2F" w:rsidRPr="00ED4181">
        <w:rPr>
          <w:color w:val="FF0000"/>
        </w:rPr>
        <w:t xml:space="preserve">to get a </w:t>
      </w:r>
      <w:r w:rsidR="006819D1" w:rsidRPr="00ED4181">
        <w:rPr>
          <w:color w:val="FF0000"/>
        </w:rPr>
        <w:t>quality limited network below the load of 2 % blocking.</w:t>
      </w:r>
      <w:r w:rsidR="006D385B">
        <w:rPr>
          <w:color w:val="FF0000"/>
        </w:rPr>
        <w:t xml:space="preserve"> I.e. using for example AFS4.75 results in a blocking limited network where system capacity gains due to improved network quality cannot be measured.</w:t>
      </w:r>
    </w:p>
    <w:p w14:paraId="2BEE528F" w14:textId="3CF78BC5" w:rsidR="005C1E89" w:rsidRDefault="005C1E89" w:rsidP="00442EFA">
      <w:r>
        <w:t xml:space="preserve">The same TSC planning algorithm was used as described in Section </w:t>
      </w:r>
      <w:r>
        <w:fldChar w:fldCharType="begin"/>
      </w:r>
      <w:r>
        <w:instrText xml:space="preserve"> REF _Ref396332541 \r \h </w:instrText>
      </w:r>
      <w:r>
        <w:fldChar w:fldCharType="separate"/>
      </w:r>
      <w:r w:rsidR="002A7BC0">
        <w:t>2.2</w:t>
      </w:r>
      <w:r>
        <w:fldChar w:fldCharType="end"/>
      </w:r>
      <w:r>
        <w:t>.</w:t>
      </w:r>
      <w:r w:rsidR="00503041">
        <w:t xml:space="preserve"> Since this planning principle mainly aims at avoiding co-TSC interference there is a need to map a specific TSC value/index to each specific TSC value in the plan.</w:t>
      </w:r>
      <w:r w:rsidR="00CC2353">
        <w:t xml:space="preserve"> In other words, the TSC planning algorithm will determine for example that </w:t>
      </w:r>
      <w:r w:rsidR="007034E7">
        <w:t xml:space="preserve">e.g. </w:t>
      </w:r>
      <w:r w:rsidR="00CC2353">
        <w:t xml:space="preserve">cells [1,15,27,35,52,89,115,132,145] should have the same TSC in order to avoid co-TSC in the network (and similar cell-vectors exist for all 8 or 16 TSCs). It will however, not map a specific TSC to these cells. In order to estimate </w:t>
      </w:r>
      <w:r w:rsidR="007034E7">
        <w:t xml:space="preserve">the impact on the results from </w:t>
      </w:r>
      <w:r w:rsidR="00CC2353">
        <w:t>different TSC plans, three different, randomly chosen, mapping vectors were generated and</w:t>
      </w:r>
      <w:r w:rsidR="007034E7">
        <w:t xml:space="preserve"> simulated.</w:t>
      </w:r>
      <w:r w:rsidR="00CC2353">
        <w:t xml:space="preserve"> </w:t>
      </w:r>
      <w:r w:rsidR="007034E7">
        <w:t>T</w:t>
      </w:r>
      <w:r w:rsidR="00CC2353">
        <w:t>he result for each simulated scenario is an average of these three mapping alternatives.</w:t>
      </w:r>
    </w:p>
    <w:p w14:paraId="0FBD5E00" w14:textId="53E167BE" w:rsidR="005C1E89" w:rsidRDefault="003972A0" w:rsidP="00442EFA">
      <w:r>
        <w:t xml:space="preserve">More details on the methodology and verification of the integrated link simulator </w:t>
      </w:r>
      <w:proofErr w:type="gramStart"/>
      <w:r>
        <w:t>is</w:t>
      </w:r>
      <w:proofErr w:type="gramEnd"/>
      <w:r>
        <w:t xml:space="preserve"> provided in </w:t>
      </w:r>
      <w:r>
        <w:fldChar w:fldCharType="begin"/>
      </w:r>
      <w:r>
        <w:instrText xml:space="preserve"> REF _Ref396643920 \r \h </w:instrText>
      </w:r>
      <w:r>
        <w:fldChar w:fldCharType="separate"/>
      </w:r>
      <w:r w:rsidR="002A7BC0">
        <w:t>[4]</w:t>
      </w:r>
      <w:r>
        <w:fldChar w:fldCharType="end"/>
      </w:r>
      <w:r>
        <w:t>.</w:t>
      </w:r>
    </w:p>
    <w:p w14:paraId="66602EDA" w14:textId="4CB09C0E" w:rsidR="00503041" w:rsidRDefault="00131C59" w:rsidP="00442EFA">
      <w:r>
        <w:t xml:space="preserve">The two TSC planning scenarios as described in Section </w:t>
      </w:r>
      <w:r>
        <w:fldChar w:fldCharType="begin"/>
      </w:r>
      <w:r>
        <w:instrText xml:space="preserve"> REF _Ref396644406 \r \h </w:instrText>
      </w:r>
      <w:r>
        <w:fldChar w:fldCharType="separate"/>
      </w:r>
      <w:r w:rsidR="002A7BC0">
        <w:t>2.3.1</w:t>
      </w:r>
      <w:r>
        <w:fldChar w:fldCharType="end"/>
      </w:r>
      <w:r>
        <w:t xml:space="preserve"> was also evaluated on system level. In addition, the TSC plan of 16 available TSCs, only </w:t>
      </w:r>
      <w:r w:rsidR="00503E22">
        <w:t>taken from the proposed NewToN set was also simulated.</w:t>
      </w:r>
      <w:r w:rsidR="00F93E12">
        <w:t xml:space="preserve"> This scenario would represent a system with a high penetration of NewToN MS where the new set could be used as a baseline in the TSC planning, and the legacy set is only used when allocating users in a VAMOS channel.</w:t>
      </w:r>
    </w:p>
    <w:p w14:paraId="58BB4E4D" w14:textId="628B7C8E" w:rsidR="00D75403" w:rsidRDefault="00D75403" w:rsidP="00442EFA">
      <w:r>
        <w:t>The metric on “Happy users” is taken from the MUROS study where a &lt;2% call FER is classified as a “Happy user” when simulating FR channels.</w:t>
      </w:r>
    </w:p>
    <w:p w14:paraId="421EAEFC" w14:textId="67BE3B18" w:rsidR="005236E6" w:rsidRPr="005234C8" w:rsidRDefault="005236E6" w:rsidP="005234C8">
      <w:pPr>
        <w:pStyle w:val="Heading2"/>
      </w:pPr>
      <w:r w:rsidRPr="005234C8">
        <w:lastRenderedPageBreak/>
        <w:t>Results</w:t>
      </w:r>
      <w:r w:rsidR="005B4BC3" w:rsidRPr="005234C8">
        <w:t xml:space="preserve"> – non-VAMOS</w:t>
      </w:r>
    </w:p>
    <w:p w14:paraId="2E2BCBD2" w14:textId="37E97751" w:rsidR="005236E6" w:rsidRDefault="00131C59" w:rsidP="00C83A04">
      <w:pPr>
        <w:pStyle w:val="BodyText"/>
      </w:pPr>
      <w:r>
        <w:t>The</w:t>
      </w:r>
      <w:r w:rsidR="00BA4030">
        <w:t xml:space="preserve"> results are shown in </w:t>
      </w:r>
      <w:r w:rsidR="00BA4030">
        <w:fldChar w:fldCharType="begin"/>
      </w:r>
      <w:r w:rsidR="00BA4030">
        <w:instrText xml:space="preserve"> REF _Ref396644546 \h </w:instrText>
      </w:r>
      <w:r w:rsidR="00BA4030">
        <w:fldChar w:fldCharType="separate"/>
      </w:r>
      <w:r w:rsidR="002A7BC0">
        <w:t xml:space="preserve">Figure </w:t>
      </w:r>
      <w:r w:rsidR="002A7BC0">
        <w:rPr>
          <w:noProof/>
        </w:rPr>
        <w:t>7</w:t>
      </w:r>
      <w:r w:rsidR="00BA4030">
        <w:fldChar w:fldCharType="end"/>
      </w:r>
      <w:r w:rsidR="00BA4030">
        <w:t xml:space="preserve">. </w:t>
      </w:r>
    </w:p>
    <w:p w14:paraId="59A8B5B7" w14:textId="2E930806" w:rsidR="00503041" w:rsidRDefault="003B005C" w:rsidP="003B005C">
      <w:pPr>
        <w:pStyle w:val="BodyText"/>
        <w:keepNext/>
        <w:jc w:val="center"/>
      </w:pPr>
      <w:r>
        <w:rPr>
          <w:noProof/>
        </w:rPr>
        <w:drawing>
          <wp:inline distT="0" distB="0" distL="0" distR="0" wp14:anchorId="59A7A47F" wp14:editId="2ED3B22B">
            <wp:extent cx="5250180" cy="3497580"/>
            <wp:effectExtent l="0" t="0" r="762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4_NewToN_and_NILS_non_VAMOS_50kmh_2014_11_10.png"/>
                    <pic:cNvPicPr/>
                  </pic:nvPicPr>
                  <pic:blipFill>
                    <a:blip r:embed="rId15">
                      <a:extLst>
                        <a:ext uri="{28A0092B-C50C-407E-A947-70E740481C1C}">
                          <a14:useLocalDpi xmlns:a14="http://schemas.microsoft.com/office/drawing/2010/main" val="0"/>
                        </a:ext>
                      </a:extLst>
                    </a:blip>
                    <a:stretch>
                      <a:fillRect/>
                    </a:stretch>
                  </pic:blipFill>
                  <pic:spPr>
                    <a:xfrm>
                      <a:off x="0" y="0"/>
                      <a:ext cx="5250180" cy="3497580"/>
                    </a:xfrm>
                    <a:prstGeom prst="rect">
                      <a:avLst/>
                    </a:prstGeom>
                  </pic:spPr>
                </pic:pic>
              </a:graphicData>
            </a:graphic>
          </wp:inline>
        </w:drawing>
      </w:r>
    </w:p>
    <w:p w14:paraId="033915A8" w14:textId="18E16CEE" w:rsidR="003475F1" w:rsidRDefault="003475F1" w:rsidP="00C83A04">
      <w:pPr>
        <w:pStyle w:val="Caption"/>
        <w:ind w:left="0"/>
      </w:pPr>
      <w:bookmarkStart w:id="15" w:name="_Ref396644546"/>
      <w:proofErr w:type="gramStart"/>
      <w:r>
        <w:t xml:space="preserve">Figure </w:t>
      </w:r>
      <w:fldSimple w:instr=" SEQ Figure \* ARABIC ">
        <w:r w:rsidR="002A7BC0">
          <w:rPr>
            <w:noProof/>
          </w:rPr>
          <w:t>7</w:t>
        </w:r>
      </w:fldSimple>
      <w:bookmarkEnd w:id="15"/>
      <w:r>
        <w:t>.</w:t>
      </w:r>
      <w:proofErr w:type="gramEnd"/>
      <w:r>
        <w:t xml:space="preserve"> </w:t>
      </w:r>
      <w:r w:rsidR="00D75403">
        <w:t xml:space="preserve">System level </w:t>
      </w:r>
      <w:r w:rsidR="00910087">
        <w:t>results with different TSC mapping plans</w:t>
      </w:r>
      <w:r w:rsidR="007F1830">
        <w:t xml:space="preserve"> </w:t>
      </w:r>
      <w:r w:rsidR="007F1830" w:rsidRPr="007F1830">
        <w:rPr>
          <w:color w:val="FF0000"/>
        </w:rPr>
        <w:t>– non VAMOS</w:t>
      </w:r>
      <w:r w:rsidR="0055720C">
        <w:rPr>
          <w:color w:val="FF0000"/>
        </w:rPr>
        <w:t>.</w:t>
      </w:r>
    </w:p>
    <w:p w14:paraId="66043C75" w14:textId="77777777" w:rsidR="00442EFA" w:rsidRDefault="00442EFA" w:rsidP="00442EFA"/>
    <w:p w14:paraId="631753BA" w14:textId="77777777" w:rsidR="00AB7A39" w:rsidRDefault="00AB7A39" w:rsidP="00C83A04">
      <w:pPr>
        <w:pStyle w:val="BodyText"/>
      </w:pPr>
      <w:r>
        <w:t>It can be seen that t</w:t>
      </w:r>
      <w:r w:rsidR="00442EFA">
        <w:t xml:space="preserve">he system level capacity gains in </w:t>
      </w:r>
      <w:r>
        <w:t>reference to the legacy 8 TSC planning are quite substantial both for the case of using legacy set 1 together with NewToN set 3, with further gains when adding a complete TSC plan using the NewToN set.</w:t>
      </w:r>
    </w:p>
    <w:p w14:paraId="0ABFABA2" w14:textId="018975AD" w:rsidR="00AB7A39" w:rsidRDefault="00AB7A39" w:rsidP="00C83A04">
      <w:pPr>
        <w:pStyle w:val="BodyText"/>
      </w:pPr>
      <w:r>
        <w:t xml:space="preserve">The results in terms of system capacity gains are also summarized in </w:t>
      </w:r>
      <w:r>
        <w:fldChar w:fldCharType="begin"/>
      </w:r>
      <w:r>
        <w:instrText xml:space="preserve"> REF _Ref396645168 \h </w:instrText>
      </w:r>
      <w:r w:rsidR="005F56E1">
        <w:instrText xml:space="preserve"> \* MERGEFORMAT </w:instrText>
      </w:r>
      <w:r>
        <w:fldChar w:fldCharType="separate"/>
      </w:r>
      <w:r w:rsidR="002A7BC0">
        <w:t xml:space="preserve">Table </w:t>
      </w:r>
      <w:r w:rsidR="002A7BC0">
        <w:rPr>
          <w:noProof/>
        </w:rPr>
        <w:t>4</w:t>
      </w:r>
      <w:r>
        <w:fldChar w:fldCharType="end"/>
      </w:r>
      <w:r>
        <w:t xml:space="preserve"> at the quality limit of 95% </w:t>
      </w:r>
      <w:proofErr w:type="gramStart"/>
      <w:r>
        <w:t>Happy</w:t>
      </w:r>
      <w:proofErr w:type="gramEnd"/>
      <w:r>
        <w:t xml:space="preserve"> users.</w:t>
      </w:r>
    </w:p>
    <w:p w14:paraId="5EA28114" w14:textId="57CF9C20" w:rsidR="00442EFA" w:rsidRDefault="00AB7A39" w:rsidP="0055720C">
      <w:pPr>
        <w:pStyle w:val="Caption"/>
        <w:keepNext/>
        <w:ind w:left="0"/>
      </w:pPr>
      <w:bookmarkStart w:id="16" w:name="_Ref396645168"/>
      <w:proofErr w:type="gramStart"/>
      <w:r>
        <w:t xml:space="preserve">Table </w:t>
      </w:r>
      <w:r w:rsidR="0059426A">
        <w:fldChar w:fldCharType="begin"/>
      </w:r>
      <w:r w:rsidR="0059426A">
        <w:instrText xml:space="preserve"> SEQ Table \* ARABIC </w:instrText>
      </w:r>
      <w:r w:rsidR="0059426A">
        <w:fldChar w:fldCharType="separate"/>
      </w:r>
      <w:r w:rsidR="002A7BC0">
        <w:rPr>
          <w:noProof/>
        </w:rPr>
        <w:t>4</w:t>
      </w:r>
      <w:r w:rsidR="0059426A">
        <w:rPr>
          <w:noProof/>
        </w:rPr>
        <w:fldChar w:fldCharType="end"/>
      </w:r>
      <w:bookmarkEnd w:id="16"/>
      <w:r>
        <w:t>.</w:t>
      </w:r>
      <w:proofErr w:type="gramEnd"/>
      <w:r>
        <w:t xml:space="preserve"> </w:t>
      </w:r>
      <w:r w:rsidR="00C4027C">
        <w:t>System capacity gains with NewToN compared to system performance using legacy set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21"/>
        <w:gridCol w:w="1766"/>
      </w:tblGrid>
      <w:tr w:rsidR="00AB7A39" w14:paraId="6DD29059" w14:textId="77777777" w:rsidTr="00C83A04">
        <w:trPr>
          <w:jc w:val="center"/>
        </w:trPr>
        <w:tc>
          <w:tcPr>
            <w:tcW w:w="3487" w:type="dxa"/>
            <w:gridSpan w:val="2"/>
            <w:shd w:val="clear" w:color="auto" w:fill="DBE5F1"/>
            <w:tcMar>
              <w:top w:w="0" w:type="dxa"/>
              <w:left w:w="108" w:type="dxa"/>
              <w:bottom w:w="0" w:type="dxa"/>
              <w:right w:w="108" w:type="dxa"/>
            </w:tcMar>
            <w:hideMark/>
          </w:tcPr>
          <w:p w14:paraId="2D27E03F" w14:textId="77777777" w:rsidR="00AB7A39" w:rsidRDefault="00AB7A39" w:rsidP="0055720C">
            <w:pPr>
              <w:keepNext/>
              <w:jc w:val="center"/>
              <w:rPr>
                <w:rFonts w:ascii="Calibri" w:hAnsi="Calibri" w:cs="Calibri"/>
              </w:rPr>
            </w:pPr>
            <w:r>
              <w:t>System capacity gains [%]</w:t>
            </w:r>
          </w:p>
        </w:tc>
      </w:tr>
      <w:tr w:rsidR="00AB7A39" w14:paraId="76949C34" w14:textId="77777777" w:rsidTr="00C83A04">
        <w:trPr>
          <w:jc w:val="center"/>
        </w:trPr>
        <w:tc>
          <w:tcPr>
            <w:tcW w:w="1721" w:type="dxa"/>
            <w:shd w:val="clear" w:color="auto" w:fill="DBE5F1"/>
            <w:tcMar>
              <w:top w:w="0" w:type="dxa"/>
              <w:left w:w="108" w:type="dxa"/>
              <w:bottom w:w="0" w:type="dxa"/>
              <w:right w:w="108" w:type="dxa"/>
            </w:tcMar>
            <w:hideMark/>
          </w:tcPr>
          <w:p w14:paraId="7A3C5165" w14:textId="4662BAFB" w:rsidR="00AB7A39" w:rsidRDefault="00AB7A39" w:rsidP="0055720C">
            <w:pPr>
              <w:keepNext/>
              <w:jc w:val="center"/>
              <w:rPr>
                <w:rFonts w:ascii="Calibri" w:hAnsi="Calibri" w:cs="Calibri"/>
              </w:rPr>
            </w:pPr>
            <w:r>
              <w:t>Legacy set 1 +</w:t>
            </w:r>
            <w:r>
              <w:br/>
              <w:t>NewToN set 3</w:t>
            </w:r>
          </w:p>
        </w:tc>
        <w:tc>
          <w:tcPr>
            <w:tcW w:w="1766" w:type="dxa"/>
            <w:shd w:val="clear" w:color="auto" w:fill="DBE5F1"/>
            <w:tcMar>
              <w:top w:w="0" w:type="dxa"/>
              <w:left w:w="108" w:type="dxa"/>
              <w:bottom w:w="0" w:type="dxa"/>
              <w:right w:w="108" w:type="dxa"/>
            </w:tcMar>
            <w:hideMark/>
          </w:tcPr>
          <w:p w14:paraId="770B99DB" w14:textId="0C3E1BE5" w:rsidR="00AB7A39" w:rsidRDefault="00AB7A39" w:rsidP="0055720C">
            <w:pPr>
              <w:keepNext/>
              <w:jc w:val="center"/>
              <w:rPr>
                <w:rFonts w:ascii="Calibri" w:hAnsi="Calibri" w:cs="Calibri"/>
              </w:rPr>
            </w:pPr>
            <w:r>
              <w:t>NewToN set 3 +</w:t>
            </w:r>
            <w:r>
              <w:br/>
              <w:t>NewToN set 4</w:t>
            </w:r>
          </w:p>
        </w:tc>
      </w:tr>
      <w:tr w:rsidR="00AB7A39" w14:paraId="6E2E481E" w14:textId="77777777" w:rsidTr="00C83A04">
        <w:trPr>
          <w:jc w:val="center"/>
        </w:trPr>
        <w:tc>
          <w:tcPr>
            <w:tcW w:w="1721" w:type="dxa"/>
            <w:tcMar>
              <w:top w:w="0" w:type="dxa"/>
              <w:left w:w="108" w:type="dxa"/>
              <w:bottom w:w="0" w:type="dxa"/>
              <w:right w:w="108" w:type="dxa"/>
            </w:tcMar>
          </w:tcPr>
          <w:p w14:paraId="0BA0F9B2" w14:textId="68BC319C" w:rsidR="00AB7A39" w:rsidRDefault="00C4027C" w:rsidP="002856B7">
            <w:pPr>
              <w:jc w:val="center"/>
              <w:rPr>
                <w:rFonts w:ascii="Calibri" w:hAnsi="Calibri" w:cs="Calibri"/>
              </w:rPr>
            </w:pPr>
            <w:r>
              <w:rPr>
                <w:rFonts w:ascii="Calibri" w:hAnsi="Calibri" w:cs="Calibri"/>
              </w:rPr>
              <w:t>3</w:t>
            </w:r>
            <w:r w:rsidR="002856B7">
              <w:rPr>
                <w:rFonts w:ascii="Calibri" w:hAnsi="Calibri" w:cs="Calibri"/>
              </w:rPr>
              <w:t>4</w:t>
            </w:r>
          </w:p>
        </w:tc>
        <w:tc>
          <w:tcPr>
            <w:tcW w:w="1766" w:type="dxa"/>
            <w:tcMar>
              <w:top w:w="0" w:type="dxa"/>
              <w:left w:w="108" w:type="dxa"/>
              <w:bottom w:w="0" w:type="dxa"/>
              <w:right w:w="108" w:type="dxa"/>
            </w:tcMar>
          </w:tcPr>
          <w:p w14:paraId="3997CFAC" w14:textId="16C8124E" w:rsidR="00AB7A39" w:rsidRDefault="00C4027C" w:rsidP="002856B7">
            <w:pPr>
              <w:jc w:val="center"/>
              <w:rPr>
                <w:rFonts w:ascii="Calibri" w:hAnsi="Calibri" w:cs="Calibri"/>
              </w:rPr>
            </w:pPr>
            <w:r>
              <w:rPr>
                <w:rFonts w:ascii="Calibri" w:hAnsi="Calibri" w:cs="Calibri"/>
              </w:rPr>
              <w:t>47</w:t>
            </w:r>
          </w:p>
        </w:tc>
      </w:tr>
    </w:tbl>
    <w:p w14:paraId="65D4F44E" w14:textId="77777777" w:rsidR="0028477C" w:rsidRDefault="0028477C" w:rsidP="0028477C"/>
    <w:p w14:paraId="07EDE47C" w14:textId="090A1ABB" w:rsidR="005B4BC3" w:rsidRPr="005234C8" w:rsidRDefault="005B4BC3" w:rsidP="005234C8">
      <w:pPr>
        <w:pStyle w:val="Heading2"/>
      </w:pPr>
      <w:r w:rsidRPr="005234C8">
        <w:t>Results – VAMOS</w:t>
      </w:r>
    </w:p>
    <w:p w14:paraId="12D4497A" w14:textId="73C5E5FC" w:rsidR="005B4BC3" w:rsidRDefault="00D72CAF" w:rsidP="005B4BC3">
      <w:pPr>
        <w:pStyle w:val="BodyText"/>
        <w:rPr>
          <w:color w:val="FF0000"/>
        </w:rPr>
      </w:pPr>
      <w:r>
        <w:rPr>
          <w:color w:val="FF0000"/>
        </w:rPr>
        <w:t>The intention of the NewToN work, by increasing the number of TSCs in the CS domain from 16 to 32 was to realize a two times increase in the number of TSCs used for TSC planning when supporting VAMOS.</w:t>
      </w:r>
    </w:p>
    <w:p w14:paraId="407E3778" w14:textId="367E84D1" w:rsidR="001D03CF" w:rsidRDefault="001D03CF" w:rsidP="005B4BC3">
      <w:pPr>
        <w:pStyle w:val="BodyText"/>
        <w:rPr>
          <w:color w:val="FF0000"/>
        </w:rPr>
      </w:pPr>
      <w:r>
        <w:rPr>
          <w:color w:val="FF0000"/>
        </w:rPr>
        <w:t>In this section VAMOS performance is evaluated assuming different TSC planning strategies with and without NewToN TSCs.</w:t>
      </w:r>
      <w:r w:rsidR="00901613">
        <w:rPr>
          <w:color w:val="FF0000"/>
        </w:rPr>
        <w:t xml:space="preserve"> The TSC sets used for the TSC plans are represented by ‘TSC </w:t>
      </w:r>
      <w:r w:rsidR="00901613">
        <w:rPr>
          <w:color w:val="FF0000"/>
        </w:rPr>
        <w:lastRenderedPageBreak/>
        <w:t xml:space="preserve">sets for TSC </w:t>
      </w:r>
      <w:proofErr w:type="gramStart"/>
      <w:r w:rsidR="00901613">
        <w:rPr>
          <w:color w:val="FF0000"/>
        </w:rPr>
        <w:t>plan</w:t>
      </w:r>
      <w:r w:rsidR="00D2168D">
        <w:rPr>
          <w:color w:val="FF0000"/>
        </w:rPr>
        <w:t>’</w:t>
      </w:r>
      <w:r w:rsidR="00901613">
        <w:rPr>
          <w:color w:val="FF0000"/>
        </w:rPr>
        <w:t xml:space="preserve"> :</w:t>
      </w:r>
      <w:proofErr w:type="gramEnd"/>
      <w:r w:rsidR="00901613">
        <w:rPr>
          <w:color w:val="FF0000"/>
        </w:rPr>
        <w:t xml:space="preserve"> </w:t>
      </w:r>
      <w:r w:rsidR="00D2168D">
        <w:rPr>
          <w:color w:val="FF0000"/>
        </w:rPr>
        <w:t>‘</w:t>
      </w:r>
      <w:r w:rsidR="00901613">
        <w:rPr>
          <w:color w:val="FF0000"/>
        </w:rPr>
        <w:t xml:space="preserve">Paired TSC sets for VAMOS allocation’. For example </w:t>
      </w:r>
      <w:r w:rsidR="00D2168D">
        <w:rPr>
          <w:color w:val="FF0000"/>
        </w:rPr>
        <w:t>”</w:t>
      </w:r>
      <w:r w:rsidR="00901613">
        <w:rPr>
          <w:color w:val="FF0000"/>
        </w:rPr>
        <w:t>Set 1 : Set 2</w:t>
      </w:r>
      <w:r w:rsidR="00D2168D">
        <w:rPr>
          <w:color w:val="FF0000"/>
        </w:rPr>
        <w:t>”</w:t>
      </w:r>
      <w:r w:rsidR="00901613">
        <w:rPr>
          <w:color w:val="FF0000"/>
        </w:rPr>
        <w:t xml:space="preserve"> </w:t>
      </w:r>
      <w:r w:rsidR="00971635">
        <w:rPr>
          <w:color w:val="FF0000"/>
        </w:rPr>
        <w:t xml:space="preserve">implies </w:t>
      </w:r>
      <w:r w:rsidR="00901613">
        <w:rPr>
          <w:color w:val="FF0000"/>
        </w:rPr>
        <w:t>that TSC set 1 is used for the baseline TSC plan (i.e. TSC re-use eight), and that TSC set 2 is used in case of users being in VAMOS mode.</w:t>
      </w:r>
      <w:r w:rsidR="00455687">
        <w:rPr>
          <w:color w:val="FF0000"/>
        </w:rPr>
        <w:t xml:space="preserve"> The VAMOS principle is followed in that only paired TSCs of the same index are considered. </w:t>
      </w:r>
      <w:r w:rsidR="00D93CE9">
        <w:rPr>
          <w:color w:val="FF0000"/>
        </w:rPr>
        <w:t>For example, in ‘Set 1+</w:t>
      </w:r>
      <w:proofErr w:type="gramStart"/>
      <w:r w:rsidR="00D93CE9">
        <w:rPr>
          <w:color w:val="FF0000"/>
        </w:rPr>
        <w:t>3 :</w:t>
      </w:r>
      <w:proofErr w:type="gramEnd"/>
      <w:r w:rsidR="00D93CE9">
        <w:rPr>
          <w:color w:val="FF0000"/>
        </w:rPr>
        <w:t xml:space="preserve"> Set 2+4’ TSCs of set 1 is only paired with TSCs of set 2 using the same TSC index.</w:t>
      </w:r>
    </w:p>
    <w:p w14:paraId="0E7AC0E3" w14:textId="334918EB" w:rsidR="001D03CF" w:rsidRPr="007F1830" w:rsidRDefault="001D03CF" w:rsidP="005B4BC3">
      <w:pPr>
        <w:pStyle w:val="BodyText"/>
        <w:rPr>
          <w:color w:val="FF0000"/>
        </w:rPr>
      </w:pPr>
      <w:r>
        <w:rPr>
          <w:color w:val="FF0000"/>
        </w:rPr>
        <w:t>The simulation assumptions in Se</w:t>
      </w:r>
      <w:r w:rsidRPr="007F1830">
        <w:rPr>
          <w:color w:val="FF0000"/>
        </w:rPr>
        <w:t xml:space="preserve">ction </w:t>
      </w:r>
      <w:r w:rsidRPr="007F1830">
        <w:rPr>
          <w:color w:val="FF0000"/>
        </w:rPr>
        <w:fldChar w:fldCharType="begin"/>
      </w:r>
      <w:r w:rsidRPr="007F1830">
        <w:rPr>
          <w:color w:val="FF0000"/>
        </w:rPr>
        <w:instrText xml:space="preserve"> REF _Ref402724757 \r \h </w:instrText>
      </w:r>
      <w:r w:rsidRPr="007F1830">
        <w:rPr>
          <w:color w:val="FF0000"/>
        </w:rPr>
      </w:r>
      <w:r w:rsidRPr="007F1830">
        <w:rPr>
          <w:color w:val="FF0000"/>
        </w:rPr>
        <w:fldChar w:fldCharType="separate"/>
      </w:r>
      <w:r w:rsidR="002A7BC0">
        <w:rPr>
          <w:color w:val="FF0000"/>
        </w:rPr>
        <w:t>3.2</w:t>
      </w:r>
      <w:r w:rsidRPr="007F1830">
        <w:rPr>
          <w:color w:val="FF0000"/>
        </w:rPr>
        <w:fldChar w:fldCharType="end"/>
      </w:r>
      <w:r w:rsidRPr="007F1830">
        <w:rPr>
          <w:color w:val="FF0000"/>
        </w:rPr>
        <w:t xml:space="preserve"> are followed. </w:t>
      </w:r>
    </w:p>
    <w:p w14:paraId="37C1931E" w14:textId="38FF8ABB" w:rsidR="007F1830" w:rsidRDefault="007F1830" w:rsidP="005B4BC3">
      <w:pPr>
        <w:pStyle w:val="BodyText"/>
        <w:rPr>
          <w:color w:val="FF0000"/>
        </w:rPr>
      </w:pPr>
      <w:r w:rsidRPr="007F1830">
        <w:rPr>
          <w:color w:val="FF0000"/>
        </w:rPr>
        <w:t xml:space="preserve">The results are shown in </w:t>
      </w:r>
      <w:r w:rsidRPr="007F1830">
        <w:rPr>
          <w:color w:val="FF0000"/>
        </w:rPr>
        <w:fldChar w:fldCharType="begin"/>
      </w:r>
      <w:r w:rsidRPr="007F1830">
        <w:rPr>
          <w:color w:val="FF0000"/>
        </w:rPr>
        <w:instrText xml:space="preserve"> REF _Ref402724942 \h </w:instrText>
      </w:r>
      <w:r w:rsidRPr="007F1830">
        <w:rPr>
          <w:color w:val="FF0000"/>
        </w:rPr>
      </w:r>
      <w:r w:rsidRPr="007F1830">
        <w:rPr>
          <w:color w:val="FF0000"/>
        </w:rPr>
        <w:fldChar w:fldCharType="separate"/>
      </w:r>
      <w:r w:rsidR="002A7BC0" w:rsidRPr="007F1830">
        <w:rPr>
          <w:color w:val="FF0000"/>
        </w:rPr>
        <w:t xml:space="preserve">Figure </w:t>
      </w:r>
      <w:r w:rsidR="002A7BC0">
        <w:rPr>
          <w:noProof/>
          <w:color w:val="FF0000"/>
        </w:rPr>
        <w:t>8</w:t>
      </w:r>
      <w:r w:rsidRPr="007F1830">
        <w:rPr>
          <w:color w:val="FF0000"/>
        </w:rPr>
        <w:fldChar w:fldCharType="end"/>
      </w:r>
      <w:r w:rsidRPr="007F1830">
        <w:rPr>
          <w:color w:val="FF0000"/>
        </w:rPr>
        <w:t>.</w:t>
      </w:r>
      <w:r w:rsidR="009C38BC">
        <w:rPr>
          <w:color w:val="FF0000"/>
        </w:rPr>
        <w:t xml:space="preserve"> The system capacity gains with VAMOS are shown in the legend (i.e. capacity gains compared to the non-VAMOS case when the system is at 2% blocking).</w:t>
      </w:r>
    </w:p>
    <w:p w14:paraId="3280D9EA" w14:textId="6697DDA6" w:rsidR="00702364" w:rsidRPr="007F1830" w:rsidRDefault="0062703B" w:rsidP="0062703B">
      <w:pPr>
        <w:pStyle w:val="BodyText"/>
        <w:keepNext/>
        <w:jc w:val="center"/>
        <w:rPr>
          <w:color w:val="FF0000"/>
        </w:rPr>
      </w:pPr>
      <w:r>
        <w:rPr>
          <w:noProof/>
          <w:color w:val="FF0000"/>
        </w:rPr>
        <w:drawing>
          <wp:inline distT="0" distB="0" distL="0" distR="0" wp14:anchorId="6B1F06F6" wp14:editId="23F30D89">
            <wp:extent cx="5250180" cy="3497580"/>
            <wp:effectExtent l="0" t="0" r="762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4_NewToN_and_NILS_VAMOS_3kmh_2014_11_10.png"/>
                    <pic:cNvPicPr/>
                  </pic:nvPicPr>
                  <pic:blipFill>
                    <a:blip r:embed="rId16">
                      <a:extLst>
                        <a:ext uri="{28A0092B-C50C-407E-A947-70E740481C1C}">
                          <a14:useLocalDpi xmlns:a14="http://schemas.microsoft.com/office/drawing/2010/main" val="0"/>
                        </a:ext>
                      </a:extLst>
                    </a:blip>
                    <a:stretch>
                      <a:fillRect/>
                    </a:stretch>
                  </pic:blipFill>
                  <pic:spPr>
                    <a:xfrm>
                      <a:off x="0" y="0"/>
                      <a:ext cx="5250180" cy="3497580"/>
                    </a:xfrm>
                    <a:prstGeom prst="rect">
                      <a:avLst/>
                    </a:prstGeom>
                  </pic:spPr>
                </pic:pic>
              </a:graphicData>
            </a:graphic>
          </wp:inline>
        </w:drawing>
      </w:r>
    </w:p>
    <w:p w14:paraId="36F9A4B0" w14:textId="7FF147CA" w:rsidR="007F1830" w:rsidRDefault="007F1830" w:rsidP="007F1830">
      <w:pPr>
        <w:pStyle w:val="Caption"/>
        <w:ind w:left="0"/>
        <w:rPr>
          <w:color w:val="FF0000"/>
        </w:rPr>
      </w:pPr>
      <w:bookmarkStart w:id="17" w:name="_Ref402724942"/>
      <w:proofErr w:type="gramStart"/>
      <w:r w:rsidRPr="007F1830">
        <w:rPr>
          <w:color w:val="FF0000"/>
        </w:rPr>
        <w:t xml:space="preserve">Figure </w:t>
      </w:r>
      <w:r w:rsidRPr="007F1830">
        <w:rPr>
          <w:color w:val="FF0000"/>
        </w:rPr>
        <w:fldChar w:fldCharType="begin"/>
      </w:r>
      <w:r w:rsidRPr="007F1830">
        <w:rPr>
          <w:color w:val="FF0000"/>
        </w:rPr>
        <w:instrText xml:space="preserve"> SEQ Figure \* ARABIC </w:instrText>
      </w:r>
      <w:r w:rsidRPr="007F1830">
        <w:rPr>
          <w:color w:val="FF0000"/>
        </w:rPr>
        <w:fldChar w:fldCharType="separate"/>
      </w:r>
      <w:r w:rsidR="002A7BC0">
        <w:rPr>
          <w:noProof/>
          <w:color w:val="FF0000"/>
        </w:rPr>
        <w:t>8</w:t>
      </w:r>
      <w:r w:rsidRPr="007F1830">
        <w:rPr>
          <w:color w:val="FF0000"/>
        </w:rPr>
        <w:fldChar w:fldCharType="end"/>
      </w:r>
      <w:bookmarkEnd w:id="17"/>
      <w:r w:rsidRPr="007F1830">
        <w:rPr>
          <w:color w:val="FF0000"/>
        </w:rPr>
        <w:t>.</w:t>
      </w:r>
      <w:proofErr w:type="gramEnd"/>
      <w:r w:rsidRPr="007F1830">
        <w:rPr>
          <w:color w:val="FF0000"/>
        </w:rPr>
        <w:t xml:space="preserve"> System level results with different TSC mapping plans –</w:t>
      </w:r>
      <w:r w:rsidR="003C3651">
        <w:rPr>
          <w:color w:val="FF0000"/>
        </w:rPr>
        <w:t xml:space="preserve"> </w:t>
      </w:r>
      <w:r w:rsidRPr="007F1830">
        <w:rPr>
          <w:color w:val="FF0000"/>
        </w:rPr>
        <w:t>VAMOS.</w:t>
      </w:r>
    </w:p>
    <w:p w14:paraId="5288F718" w14:textId="77777777" w:rsidR="007F1830" w:rsidRDefault="007F1830" w:rsidP="007F1830">
      <w:pPr>
        <w:pStyle w:val="BodyText"/>
      </w:pPr>
    </w:p>
    <w:p w14:paraId="6B7C4588" w14:textId="5058C704" w:rsidR="007F1830" w:rsidRPr="007F1830" w:rsidRDefault="007F1830" w:rsidP="007F1830">
      <w:pPr>
        <w:pStyle w:val="BodyText"/>
        <w:rPr>
          <w:color w:val="FF0000"/>
        </w:rPr>
      </w:pPr>
      <w:r w:rsidRPr="007F1830">
        <w:rPr>
          <w:color w:val="FF0000"/>
        </w:rPr>
        <w:t>Two differ</w:t>
      </w:r>
      <w:r w:rsidR="00827C83">
        <w:rPr>
          <w:color w:val="FF0000"/>
        </w:rPr>
        <w:t>ent TSC plans without NewToN have</w:t>
      </w:r>
      <w:r w:rsidRPr="007F1830">
        <w:rPr>
          <w:color w:val="FF0000"/>
        </w:rPr>
        <w:t xml:space="preserve"> been used, either applying an 8 re-use or a 16 re-use. The benefit of using a 16 re-use is that the probability of co-TS</w:t>
      </w:r>
      <w:r w:rsidR="00827C83">
        <w:rPr>
          <w:color w:val="FF0000"/>
        </w:rPr>
        <w:t xml:space="preserve">C is vastly reduced in case of </w:t>
      </w:r>
      <w:r w:rsidRPr="007F1830">
        <w:rPr>
          <w:color w:val="FF0000"/>
        </w:rPr>
        <w:t xml:space="preserve">a low loaded network (not many VAMOS connections), while at high loads the VAMOS connections increase and the plan, in the extreme case of only VAMOS connections, effectively reduces to an 8 </w:t>
      </w:r>
      <w:r w:rsidR="00971635">
        <w:rPr>
          <w:color w:val="FF0000"/>
        </w:rPr>
        <w:t xml:space="preserve">TSC </w:t>
      </w:r>
      <w:r w:rsidRPr="007F1830">
        <w:rPr>
          <w:color w:val="FF0000"/>
        </w:rPr>
        <w:t>re-use. It can be seen from the simulations that the gap between the two curves without NewToN (blue) diminishes with increasing load.</w:t>
      </w:r>
    </w:p>
    <w:p w14:paraId="0979374D" w14:textId="0E2017F7" w:rsidR="007F1830" w:rsidRDefault="007F1830" w:rsidP="007F1830">
      <w:pPr>
        <w:pStyle w:val="BodyText"/>
        <w:rPr>
          <w:color w:val="FF0000"/>
        </w:rPr>
      </w:pPr>
      <w:r w:rsidRPr="007F1830">
        <w:rPr>
          <w:color w:val="FF0000"/>
        </w:rPr>
        <w:t>For NewToN both using TSC set 1+3 (16 re-use), and TSC set 2+3 (16 re-use) was simulated. TSC set 2+3 was simulated to see what could be gained at a high loaded network scenario with NewToN MS (i.e. where TSC set 1 is not used for basic TSC planning but only in VAMOS connections).</w:t>
      </w:r>
    </w:p>
    <w:p w14:paraId="4DC04065" w14:textId="57FFE03E" w:rsidR="0020299E" w:rsidRDefault="00C379B8" w:rsidP="007F1830">
      <w:pPr>
        <w:pStyle w:val="BodyText"/>
        <w:rPr>
          <w:color w:val="FF0000"/>
        </w:rPr>
      </w:pPr>
      <w:r>
        <w:rPr>
          <w:color w:val="FF0000"/>
        </w:rPr>
        <w:t>It can be seen that additional system capacity gains of 1</w:t>
      </w:r>
      <w:r w:rsidR="0062703B">
        <w:rPr>
          <w:color w:val="FF0000"/>
        </w:rPr>
        <w:t>2</w:t>
      </w:r>
      <w:r>
        <w:rPr>
          <w:color w:val="FF0000"/>
        </w:rPr>
        <w:t>-1</w:t>
      </w:r>
      <w:r w:rsidR="0062703B">
        <w:rPr>
          <w:color w:val="FF0000"/>
        </w:rPr>
        <w:t>8</w:t>
      </w:r>
      <w:r>
        <w:rPr>
          <w:color w:val="FF0000"/>
        </w:rPr>
        <w:t xml:space="preserve"> </w:t>
      </w:r>
      <w:r w:rsidR="0020299E">
        <w:rPr>
          <w:color w:val="FF0000"/>
        </w:rPr>
        <w:t>percentage points</w:t>
      </w:r>
      <w:r>
        <w:rPr>
          <w:color w:val="FF0000"/>
        </w:rPr>
        <w:t xml:space="preserve"> are brought by using NewToN with the VAMOS feature</w:t>
      </w:r>
      <w:r w:rsidR="00E35452">
        <w:rPr>
          <w:color w:val="FF0000"/>
        </w:rPr>
        <w:t xml:space="preserve"> compared to using a 16 TSC re-use without NewToN</w:t>
      </w:r>
      <w:r>
        <w:rPr>
          <w:color w:val="FF0000"/>
        </w:rPr>
        <w:t>.</w:t>
      </w:r>
    </w:p>
    <w:p w14:paraId="3844EFD7" w14:textId="77777777" w:rsidR="00CC0D10" w:rsidRPr="005234C8" w:rsidRDefault="00CC0D10" w:rsidP="005234C8">
      <w:pPr>
        <w:pStyle w:val="Heading1"/>
      </w:pPr>
      <w:bookmarkStart w:id="18" w:name="_Ref396765598"/>
      <w:r w:rsidRPr="005234C8">
        <w:lastRenderedPageBreak/>
        <w:t>Performance comparison according to NewToN framework</w:t>
      </w:r>
      <w:bookmarkEnd w:id="18"/>
    </w:p>
    <w:p w14:paraId="47B1CDDE" w14:textId="0848636F" w:rsidR="00CC0D10" w:rsidRDefault="00CC0D10" w:rsidP="00CC0D10">
      <w:r>
        <w:t xml:space="preserve">In Annex A, the performance gain of the proposed TSC set </w:t>
      </w:r>
      <w:r>
        <w:fldChar w:fldCharType="begin"/>
      </w:r>
      <w:r>
        <w:instrText xml:space="preserve"> REF _Ref396241139 \r \h </w:instrText>
      </w:r>
      <w:r>
        <w:fldChar w:fldCharType="separate"/>
      </w:r>
      <w:r w:rsidR="002A7BC0">
        <w:t>[3]</w:t>
      </w:r>
      <w:r>
        <w:fldChar w:fldCharType="end"/>
      </w:r>
      <w:r>
        <w:t xml:space="preserve"> according to the performance evaluation framework is shown. The gain is shown compared to two different references. The first reference is the legacy training sequences for all modulations, excluding GMSK TSC Set 2 (ex</w:t>
      </w:r>
      <w:r w:rsidR="00971635">
        <w:t>c</w:t>
      </w:r>
      <w:r>
        <w:t>e</w:t>
      </w:r>
      <w:r w:rsidR="00971635">
        <w:t>p</w:t>
      </w:r>
      <w:r>
        <w:t>t for the VAMOS performance, for which both GMSK TSC sets were used). Compared to this reference, the gain is 1.5 dB, when averaged across all scenarios defined in the framework.</w:t>
      </w:r>
    </w:p>
    <w:p w14:paraId="0B33916C" w14:textId="77777777" w:rsidR="00CC0D10" w:rsidRDefault="00CC0D10" w:rsidP="00CC0D10">
      <w:r>
        <w:t xml:space="preserve">The second reference is using all legacy training sequences, i.e., GMSK TSC Set 2 is included. The gain compared to this reference is 0.7 </w:t>
      </w:r>
      <w:proofErr w:type="spellStart"/>
      <w:r>
        <w:t>dB.</w:t>
      </w:r>
      <w:proofErr w:type="spellEnd"/>
    </w:p>
    <w:p w14:paraId="676F3C6B" w14:textId="41513C69" w:rsidR="0028477C" w:rsidRDefault="00CC0D10" w:rsidP="00CC0D10">
      <w:r>
        <w:t>It can be seen that gains of up to 4.8 dB is observed in the extreme scenario (</w:t>
      </w:r>
      <w:r w:rsidR="00884FCD">
        <w:t>GMSK</w:t>
      </w:r>
      <w:r>
        <w:t xml:space="preserve"> carrier, </w:t>
      </w:r>
      <w:r w:rsidR="00884FCD">
        <w:t>32QAM</w:t>
      </w:r>
      <w:r>
        <w:t xml:space="preserve"> interferer) while some performance losses</w:t>
      </w:r>
      <w:r w:rsidR="009245D2">
        <w:t>, lower in magnitude,</w:t>
      </w:r>
      <w:r>
        <w:t xml:space="preserve"> are also observed, mainly in scenarios where low weight is given to the interferer scenario, modulation combination according to the agreed framework.</w:t>
      </w:r>
    </w:p>
    <w:p w14:paraId="6F9B6209" w14:textId="71C73FA7" w:rsidR="00884FCD" w:rsidRPr="009245D2" w:rsidRDefault="00884FCD" w:rsidP="009245D2">
      <w:pPr>
        <w:pStyle w:val="BodyText"/>
        <w:rPr>
          <w:color w:val="FF0000"/>
        </w:rPr>
      </w:pPr>
      <w:r w:rsidRPr="009245D2">
        <w:rPr>
          <w:color w:val="FF0000"/>
        </w:rPr>
        <w:t xml:space="preserve">To illustrate the performance </w:t>
      </w:r>
      <w:r w:rsidRPr="009245D2">
        <w:rPr>
          <w:color w:val="FF0000"/>
        </w:rPr>
        <w:fldChar w:fldCharType="begin"/>
      </w:r>
      <w:r w:rsidRPr="009245D2">
        <w:rPr>
          <w:color w:val="FF0000"/>
        </w:rPr>
        <w:instrText xml:space="preserve"> REF _Ref403481830 \h </w:instrText>
      </w:r>
      <w:r w:rsidR="009245D2" w:rsidRPr="009245D2">
        <w:rPr>
          <w:color w:val="FF0000"/>
        </w:rPr>
        <w:instrText xml:space="preserve"> \* MERGEFORMAT </w:instrText>
      </w:r>
      <w:r w:rsidRPr="009245D2">
        <w:rPr>
          <w:color w:val="FF0000"/>
        </w:rPr>
      </w:r>
      <w:r w:rsidRPr="009245D2">
        <w:rPr>
          <w:color w:val="FF0000"/>
        </w:rPr>
        <w:fldChar w:fldCharType="separate"/>
      </w:r>
      <w:r w:rsidR="002A7BC0" w:rsidRPr="009245D2">
        <w:rPr>
          <w:color w:val="FF0000"/>
        </w:rPr>
        <w:t xml:space="preserve">Figure </w:t>
      </w:r>
      <w:r w:rsidR="002A7BC0">
        <w:rPr>
          <w:noProof/>
          <w:color w:val="FF0000"/>
        </w:rPr>
        <w:t>9</w:t>
      </w:r>
      <w:r w:rsidRPr="009245D2">
        <w:rPr>
          <w:color w:val="FF0000"/>
        </w:rPr>
        <w:fldChar w:fldCharType="end"/>
      </w:r>
      <w:r w:rsidRPr="009245D2">
        <w:rPr>
          <w:color w:val="FF0000"/>
        </w:rPr>
        <w:t xml:space="preserve"> is used, reflecting the difference of the 16 </w:t>
      </w:r>
      <w:r w:rsidR="00C2055A">
        <w:rPr>
          <w:color w:val="FF0000"/>
        </w:rPr>
        <w:t xml:space="preserve">CCI </w:t>
      </w:r>
      <w:r w:rsidRPr="009245D2">
        <w:rPr>
          <w:color w:val="FF0000"/>
        </w:rPr>
        <w:t>modulation combinations in the Annex.</w:t>
      </w:r>
      <w:r w:rsidR="009245D2" w:rsidRPr="009245D2">
        <w:rPr>
          <w:color w:val="FF0000"/>
        </w:rPr>
        <w:t xml:space="preserve"> As can be seen, 50% of the combinations are above 3 dB and 2 dB respectively for ‘TSC set 1’ and ‘TSC set 1 and 2’ respectively. The losses are at most 1 dB, but most of them </w:t>
      </w:r>
      <w:r w:rsidR="000B5C2E">
        <w:rPr>
          <w:rFonts w:cstheme="minorHAnsi"/>
          <w:color w:val="FF0000"/>
        </w:rPr>
        <w:t>≤</w:t>
      </w:r>
      <w:r w:rsidR="000B5C2E">
        <w:rPr>
          <w:color w:val="FF0000"/>
        </w:rPr>
        <w:t xml:space="preserve"> </w:t>
      </w:r>
      <w:r w:rsidR="009245D2" w:rsidRPr="009245D2">
        <w:rPr>
          <w:color w:val="FF0000"/>
        </w:rPr>
        <w:t xml:space="preserve">0.5 </w:t>
      </w:r>
      <w:proofErr w:type="spellStart"/>
      <w:r w:rsidR="009245D2" w:rsidRPr="009245D2">
        <w:rPr>
          <w:color w:val="FF0000"/>
        </w:rPr>
        <w:t>dB.</w:t>
      </w:r>
      <w:proofErr w:type="spellEnd"/>
    </w:p>
    <w:p w14:paraId="370CDCEB" w14:textId="2AC6F3F5" w:rsidR="00884FCD" w:rsidRPr="009245D2" w:rsidRDefault="00884FCD" w:rsidP="00884FCD">
      <w:pPr>
        <w:jc w:val="center"/>
        <w:rPr>
          <w:color w:val="FF0000"/>
        </w:rPr>
      </w:pPr>
      <w:r w:rsidRPr="009245D2">
        <w:rPr>
          <w:noProof/>
          <w:color w:val="FF0000"/>
        </w:rPr>
        <w:drawing>
          <wp:inline distT="0" distB="0" distL="0" distR="0" wp14:anchorId="2D89D91E" wp14:editId="05B35321">
            <wp:extent cx="4659496" cy="3101645"/>
            <wp:effectExtent l="0" t="0" r="8255" b="381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4661279" cy="3102832"/>
                    </a:xfrm>
                    <a:prstGeom prst="rect">
                      <a:avLst/>
                    </a:prstGeom>
                  </pic:spPr>
                </pic:pic>
              </a:graphicData>
            </a:graphic>
          </wp:inline>
        </w:drawing>
      </w:r>
    </w:p>
    <w:p w14:paraId="41DD2315" w14:textId="2395C3A0" w:rsidR="00884FCD" w:rsidRDefault="00884FCD" w:rsidP="00884FCD">
      <w:pPr>
        <w:pStyle w:val="Caption"/>
        <w:ind w:left="0"/>
        <w:rPr>
          <w:color w:val="FF0000"/>
        </w:rPr>
      </w:pPr>
      <w:bookmarkStart w:id="19" w:name="_Ref403481830"/>
      <w:proofErr w:type="gramStart"/>
      <w:r w:rsidRPr="009245D2">
        <w:rPr>
          <w:color w:val="FF0000"/>
        </w:rPr>
        <w:t xml:space="preserve">Figure </w:t>
      </w:r>
      <w:r w:rsidRPr="009245D2">
        <w:rPr>
          <w:color w:val="FF0000"/>
        </w:rPr>
        <w:fldChar w:fldCharType="begin"/>
      </w:r>
      <w:r w:rsidRPr="009245D2">
        <w:rPr>
          <w:color w:val="FF0000"/>
        </w:rPr>
        <w:instrText xml:space="preserve"> SEQ Figure \* ARABIC </w:instrText>
      </w:r>
      <w:r w:rsidRPr="009245D2">
        <w:rPr>
          <w:color w:val="FF0000"/>
        </w:rPr>
        <w:fldChar w:fldCharType="separate"/>
      </w:r>
      <w:r w:rsidR="002A7BC0">
        <w:rPr>
          <w:noProof/>
          <w:color w:val="FF0000"/>
        </w:rPr>
        <w:t>9</w:t>
      </w:r>
      <w:r w:rsidRPr="009245D2">
        <w:rPr>
          <w:color w:val="FF0000"/>
        </w:rPr>
        <w:fldChar w:fldCharType="end"/>
      </w:r>
      <w:bookmarkEnd w:id="19"/>
      <w:r w:rsidRPr="009245D2">
        <w:rPr>
          <w:color w:val="FF0000"/>
        </w:rPr>
        <w:t>.</w:t>
      </w:r>
      <w:proofErr w:type="gramEnd"/>
      <w:r w:rsidRPr="009245D2">
        <w:rPr>
          <w:color w:val="FF0000"/>
        </w:rPr>
        <w:t xml:space="preserve"> ‘CDF’ of NewToN gains compared to performance evaluation framework – CCI.</w:t>
      </w:r>
    </w:p>
    <w:p w14:paraId="17CC7724" w14:textId="48E82907" w:rsidR="009245D2" w:rsidRDefault="009245D2" w:rsidP="009245D2">
      <w:pPr>
        <w:pStyle w:val="BodyText"/>
        <w:rPr>
          <w:color w:val="FF0000"/>
        </w:rPr>
      </w:pPr>
      <w:r w:rsidRPr="00A1190D">
        <w:rPr>
          <w:color w:val="FF0000"/>
        </w:rPr>
        <w:t xml:space="preserve">To further analyze the point </w:t>
      </w:r>
      <w:r w:rsidR="00890492">
        <w:rPr>
          <w:color w:val="FF0000"/>
        </w:rPr>
        <w:t xml:space="preserve">where </w:t>
      </w:r>
      <w:r w:rsidRPr="00A1190D">
        <w:rPr>
          <w:color w:val="FF0000"/>
        </w:rPr>
        <w:t xml:space="preserve">of a loss </w:t>
      </w:r>
      <w:r w:rsidR="00890492">
        <w:rPr>
          <w:color w:val="FF0000"/>
        </w:rPr>
        <w:t>of</w:t>
      </w:r>
      <w:r w:rsidRPr="00A1190D">
        <w:rPr>
          <w:color w:val="FF0000"/>
        </w:rPr>
        <w:t xml:space="preserve"> 1 dB</w:t>
      </w:r>
      <w:r w:rsidR="00C2055A">
        <w:rPr>
          <w:color w:val="FF0000"/>
        </w:rPr>
        <w:t xml:space="preserve"> </w:t>
      </w:r>
      <w:r w:rsidR="00890492">
        <w:rPr>
          <w:color w:val="FF0000"/>
        </w:rPr>
        <w:t xml:space="preserve">is observed </w:t>
      </w:r>
      <w:r w:rsidR="00C2055A">
        <w:rPr>
          <w:color w:val="FF0000"/>
        </w:rPr>
        <w:t>(C: GMSK, I: 8PSK</w:t>
      </w:r>
      <w:r w:rsidR="00890492">
        <w:rPr>
          <w:color w:val="FF0000"/>
        </w:rPr>
        <w:t xml:space="preserve"> versus TSC set 1</w:t>
      </w:r>
      <w:r w:rsidR="00C2055A">
        <w:rPr>
          <w:color w:val="FF0000"/>
        </w:rPr>
        <w:t>)</w:t>
      </w:r>
      <w:r w:rsidRPr="00A1190D">
        <w:rPr>
          <w:color w:val="FF0000"/>
        </w:rPr>
        <w:t xml:space="preserve">, </w:t>
      </w:r>
      <w:r w:rsidRPr="00A1190D">
        <w:rPr>
          <w:color w:val="FF0000"/>
        </w:rPr>
        <w:fldChar w:fldCharType="begin"/>
      </w:r>
      <w:r w:rsidRPr="00A1190D">
        <w:rPr>
          <w:color w:val="FF0000"/>
        </w:rPr>
        <w:instrText xml:space="preserve"> REF _Ref403482103 \h </w:instrText>
      </w:r>
      <w:r w:rsidRPr="00A1190D">
        <w:rPr>
          <w:color w:val="FF0000"/>
        </w:rPr>
      </w:r>
      <w:r w:rsidRPr="00A1190D">
        <w:rPr>
          <w:color w:val="FF0000"/>
        </w:rPr>
        <w:fldChar w:fldCharType="separate"/>
      </w:r>
      <w:r w:rsidR="002A7BC0" w:rsidRPr="00A1190D">
        <w:rPr>
          <w:color w:val="FF0000"/>
        </w:rPr>
        <w:t xml:space="preserve">Figure </w:t>
      </w:r>
      <w:r w:rsidR="002A7BC0">
        <w:rPr>
          <w:noProof/>
          <w:color w:val="FF0000"/>
        </w:rPr>
        <w:t>10</w:t>
      </w:r>
      <w:r w:rsidRPr="00A1190D">
        <w:rPr>
          <w:color w:val="FF0000"/>
        </w:rPr>
        <w:fldChar w:fldCharType="end"/>
      </w:r>
      <w:r w:rsidRPr="00A1190D">
        <w:rPr>
          <w:color w:val="FF0000"/>
        </w:rPr>
        <w:t xml:space="preserve"> has </w:t>
      </w:r>
      <w:r w:rsidR="00C2055A">
        <w:rPr>
          <w:color w:val="FF0000"/>
        </w:rPr>
        <w:t>been produced that shows the linear average of C/I at 5 % BER for different TSC sets combinations for this specific modulation combination.</w:t>
      </w:r>
    </w:p>
    <w:p w14:paraId="63949B0D" w14:textId="03CA89E9" w:rsidR="00C2055A" w:rsidRPr="00A1190D" w:rsidRDefault="000E20BC" w:rsidP="009245D2">
      <w:pPr>
        <w:pStyle w:val="BodyText"/>
        <w:rPr>
          <w:color w:val="FF0000"/>
        </w:rPr>
      </w:pPr>
      <w:r>
        <w:rPr>
          <w:noProof/>
          <w:color w:val="FF0000"/>
        </w:rPr>
        <w:lastRenderedPageBreak/>
        <w:drawing>
          <wp:inline distT="0" distB="0" distL="0" distR="0" wp14:anchorId="0C19649F" wp14:editId="509FA743">
            <wp:extent cx="5250180" cy="3216275"/>
            <wp:effectExtent l="0" t="0" r="7620" b="317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4_Breakdown_of_G_8_case.png"/>
                    <pic:cNvPicPr/>
                  </pic:nvPicPr>
                  <pic:blipFill>
                    <a:blip r:embed="rId18">
                      <a:extLst>
                        <a:ext uri="{28A0092B-C50C-407E-A947-70E740481C1C}">
                          <a14:useLocalDpi xmlns:a14="http://schemas.microsoft.com/office/drawing/2010/main" val="0"/>
                        </a:ext>
                      </a:extLst>
                    </a:blip>
                    <a:stretch>
                      <a:fillRect/>
                    </a:stretch>
                  </pic:blipFill>
                  <pic:spPr>
                    <a:xfrm>
                      <a:off x="0" y="0"/>
                      <a:ext cx="5250180" cy="3216275"/>
                    </a:xfrm>
                    <a:prstGeom prst="rect">
                      <a:avLst/>
                    </a:prstGeom>
                  </pic:spPr>
                </pic:pic>
              </a:graphicData>
            </a:graphic>
          </wp:inline>
        </w:drawing>
      </w:r>
    </w:p>
    <w:p w14:paraId="1E2BE693" w14:textId="088E8B5C" w:rsidR="009245D2" w:rsidRDefault="009245D2" w:rsidP="009245D2">
      <w:pPr>
        <w:pStyle w:val="Caption"/>
        <w:ind w:left="0"/>
        <w:rPr>
          <w:color w:val="FF0000"/>
        </w:rPr>
      </w:pPr>
      <w:bookmarkStart w:id="20" w:name="_Ref403482103"/>
      <w:proofErr w:type="gramStart"/>
      <w:r w:rsidRPr="00A1190D">
        <w:rPr>
          <w:color w:val="FF0000"/>
        </w:rPr>
        <w:t xml:space="preserve">Figure </w:t>
      </w:r>
      <w:r w:rsidRPr="00A1190D">
        <w:rPr>
          <w:color w:val="FF0000"/>
        </w:rPr>
        <w:fldChar w:fldCharType="begin"/>
      </w:r>
      <w:r w:rsidRPr="00A1190D">
        <w:rPr>
          <w:color w:val="FF0000"/>
        </w:rPr>
        <w:instrText xml:space="preserve"> SEQ Figure \* ARABIC </w:instrText>
      </w:r>
      <w:r w:rsidRPr="00A1190D">
        <w:rPr>
          <w:color w:val="FF0000"/>
        </w:rPr>
        <w:fldChar w:fldCharType="separate"/>
      </w:r>
      <w:r w:rsidR="002A7BC0">
        <w:rPr>
          <w:noProof/>
          <w:color w:val="FF0000"/>
        </w:rPr>
        <w:t>10</w:t>
      </w:r>
      <w:r w:rsidRPr="00A1190D">
        <w:rPr>
          <w:color w:val="FF0000"/>
        </w:rPr>
        <w:fldChar w:fldCharType="end"/>
      </w:r>
      <w:bookmarkEnd w:id="20"/>
      <w:r w:rsidRPr="00A1190D">
        <w:rPr>
          <w:color w:val="FF0000"/>
        </w:rPr>
        <w:t>.</w:t>
      </w:r>
      <w:proofErr w:type="gramEnd"/>
      <w:r w:rsidR="00C2055A">
        <w:rPr>
          <w:color w:val="FF0000"/>
        </w:rPr>
        <w:t xml:space="preserve"> Breakdown of CCI case with C: GMSK, I: 8PSK.</w:t>
      </w:r>
    </w:p>
    <w:p w14:paraId="72AE818D" w14:textId="77777777" w:rsidR="00181DA2" w:rsidRDefault="00181DA2" w:rsidP="00C2055A">
      <w:pPr>
        <w:pStyle w:val="BodyText"/>
        <w:rPr>
          <w:color w:val="FF0000"/>
        </w:rPr>
      </w:pPr>
    </w:p>
    <w:p w14:paraId="4DF69A69" w14:textId="476E6F3E" w:rsidR="00C2055A" w:rsidRPr="00181DA2" w:rsidRDefault="00181DA2" w:rsidP="00C2055A">
      <w:pPr>
        <w:pStyle w:val="BodyText"/>
        <w:rPr>
          <w:color w:val="FF0000"/>
        </w:rPr>
      </w:pPr>
      <w:r w:rsidRPr="00181DA2">
        <w:rPr>
          <w:color w:val="FF0000"/>
        </w:rPr>
        <w:t>It can be observed that:</w:t>
      </w:r>
    </w:p>
    <w:p w14:paraId="06363D59" w14:textId="514DA283" w:rsidR="00181DA2" w:rsidRPr="000E20BC" w:rsidRDefault="000E20BC" w:rsidP="000E20BC">
      <w:pPr>
        <w:pStyle w:val="BodyText"/>
        <w:numPr>
          <w:ilvl w:val="0"/>
          <w:numId w:val="19"/>
        </w:numPr>
      </w:pPr>
      <w:r w:rsidRPr="000E20BC">
        <w:rPr>
          <w:color w:val="FF0000"/>
        </w:rPr>
        <w:t>The legacy case (red color in figure) consist of two parts</w:t>
      </w:r>
      <w:proofErr w:type="gramStart"/>
      <w:r w:rsidRPr="000E20BC">
        <w:rPr>
          <w:color w:val="FF0000"/>
        </w:rPr>
        <w:t>, ”</w:t>
      </w:r>
      <w:proofErr w:type="gramEnd"/>
      <w:r w:rsidRPr="000E20BC">
        <w:rPr>
          <w:color w:val="FF0000"/>
        </w:rPr>
        <w:t xml:space="preserve">GMSK1 + 8PSK1” and ”GMSK2 + 8PSK1”. </w:t>
      </w:r>
      <w:r>
        <w:rPr>
          <w:color w:val="FF0000"/>
        </w:rPr>
        <w:t xml:space="preserve">These differ significantly in performance. The average </w:t>
      </w:r>
      <w:r w:rsidR="0084589B">
        <w:rPr>
          <w:color w:val="FF0000"/>
        </w:rPr>
        <w:t xml:space="preserve">of these, </w:t>
      </w:r>
      <w:proofErr w:type="gramStart"/>
      <w:r w:rsidR="0084589B">
        <w:rPr>
          <w:color w:val="FF0000"/>
        </w:rPr>
        <w:t xml:space="preserve">denoted </w:t>
      </w:r>
      <w:r w:rsidRPr="000E20BC">
        <w:rPr>
          <w:color w:val="FF0000"/>
        </w:rPr>
        <w:t>”</w:t>
      </w:r>
      <w:proofErr w:type="gramEnd"/>
      <w:r w:rsidRPr="000E20BC">
        <w:rPr>
          <w:color w:val="FF0000"/>
        </w:rPr>
        <w:t>GMSK1/2 + 8PSK1”</w:t>
      </w:r>
      <w:r w:rsidR="0084589B">
        <w:rPr>
          <w:color w:val="FF0000"/>
        </w:rPr>
        <w:t>,</w:t>
      </w:r>
      <w:r>
        <w:rPr>
          <w:color w:val="FF0000"/>
        </w:rPr>
        <w:t xml:space="preserve"> constitute</w:t>
      </w:r>
      <w:r w:rsidR="0084589B">
        <w:rPr>
          <w:color w:val="FF0000"/>
        </w:rPr>
        <w:t>s</w:t>
      </w:r>
      <w:r>
        <w:rPr>
          <w:color w:val="FF0000"/>
        </w:rPr>
        <w:t xml:space="preserve"> our reference case. </w:t>
      </w:r>
      <w:r w:rsidRPr="000E20BC">
        <w:rPr>
          <w:color w:val="FF0000"/>
        </w:rPr>
        <w:t>Compared to this, there is a gain of 0.3 dB for NewToN</w:t>
      </w:r>
      <w:proofErr w:type="gramStart"/>
      <w:r w:rsidRPr="000E20BC">
        <w:rPr>
          <w:color w:val="FF0000"/>
        </w:rPr>
        <w:t>, ”</w:t>
      </w:r>
      <w:proofErr w:type="gramEnd"/>
      <w:r w:rsidRPr="000E20BC">
        <w:rPr>
          <w:color w:val="FF0000"/>
        </w:rPr>
        <w:t>GMSK1/2/3/4 + 8PSK1/2”.</w:t>
      </w:r>
    </w:p>
    <w:p w14:paraId="1E239FD9" w14:textId="4C97B02F" w:rsidR="000E20BC" w:rsidRPr="00CC3991" w:rsidRDefault="000E20BC" w:rsidP="000E20BC">
      <w:pPr>
        <w:pStyle w:val="BodyText"/>
        <w:numPr>
          <w:ilvl w:val="0"/>
          <w:numId w:val="19"/>
        </w:numPr>
        <w:rPr>
          <w:color w:val="FF0000"/>
        </w:rPr>
      </w:pPr>
      <w:r>
        <w:rPr>
          <w:color w:val="FF0000"/>
        </w:rPr>
        <w:t xml:space="preserve">If comparing </w:t>
      </w:r>
      <w:r w:rsidRPr="00CC3991">
        <w:rPr>
          <w:color w:val="FF0000"/>
        </w:rPr>
        <w:t xml:space="preserve">only </w:t>
      </w:r>
      <w:r w:rsidR="0084589B">
        <w:rPr>
          <w:color w:val="FF0000"/>
        </w:rPr>
        <w:t xml:space="preserve">to </w:t>
      </w:r>
      <w:r w:rsidRPr="00CC3991">
        <w:rPr>
          <w:color w:val="FF0000"/>
        </w:rPr>
        <w:t xml:space="preserve">legacy set 1 (“GMSK1+8PSK1”), there is a loss of 1 </w:t>
      </w:r>
      <w:proofErr w:type="spellStart"/>
      <w:r w:rsidRPr="00CC3991">
        <w:rPr>
          <w:color w:val="FF0000"/>
        </w:rPr>
        <w:t>dB.</w:t>
      </w:r>
      <w:proofErr w:type="spellEnd"/>
      <w:r w:rsidRPr="00CC3991">
        <w:rPr>
          <w:color w:val="FF0000"/>
        </w:rPr>
        <w:t xml:space="preserve"> </w:t>
      </w:r>
    </w:p>
    <w:p w14:paraId="7F8E53AC" w14:textId="261F6FB1" w:rsidR="000E20BC" w:rsidRPr="00CC3991" w:rsidRDefault="000E20BC" w:rsidP="000E20BC">
      <w:pPr>
        <w:pStyle w:val="BodyText"/>
        <w:numPr>
          <w:ilvl w:val="0"/>
          <w:numId w:val="19"/>
        </w:numPr>
        <w:rPr>
          <w:color w:val="FF0000"/>
        </w:rPr>
      </w:pPr>
      <w:r w:rsidRPr="00CC3991">
        <w:rPr>
          <w:color w:val="FF0000"/>
        </w:rPr>
        <w:t>Looking more into details, one can see:</w:t>
      </w:r>
    </w:p>
    <w:p w14:paraId="5EF68166" w14:textId="56E31450" w:rsidR="000E20BC" w:rsidRPr="00CC3991" w:rsidRDefault="000E20BC" w:rsidP="000E20BC">
      <w:pPr>
        <w:pStyle w:val="BodyText"/>
        <w:numPr>
          <w:ilvl w:val="1"/>
          <w:numId w:val="19"/>
        </w:numPr>
        <w:rPr>
          <w:color w:val="FF0000"/>
        </w:rPr>
      </w:pPr>
      <w:r w:rsidRPr="00CC3991">
        <w:rPr>
          <w:color w:val="FF0000"/>
        </w:rPr>
        <w:t xml:space="preserve">”GMSK3 + 8PSK1” </w:t>
      </w:r>
      <w:proofErr w:type="gramStart"/>
      <w:r w:rsidRPr="00CC3991">
        <w:rPr>
          <w:color w:val="FF0000"/>
        </w:rPr>
        <w:t>and ”</w:t>
      </w:r>
      <w:proofErr w:type="gramEnd"/>
      <w:r w:rsidRPr="00CC3991">
        <w:rPr>
          <w:color w:val="FF0000"/>
        </w:rPr>
        <w:t>GMSK4 + 8PSK1”, i.e. new TSC:s for carrier and legacy TSC:s for interferer, are both better than ”GMSK1 + 8PSK1”. This is good and should be the most important case for a NewToN MS (using GMSK and being interfered by 8PSK)</w:t>
      </w:r>
      <w:r w:rsidR="00EC1863">
        <w:rPr>
          <w:color w:val="FF0000"/>
        </w:rPr>
        <w:t>, and is roughly 1.5 dB better than the collected legacy performance of TSC set 1 and 2 (“</w:t>
      </w:r>
      <w:r w:rsidR="00EC1863" w:rsidRPr="000E20BC">
        <w:rPr>
          <w:color w:val="FF0000"/>
        </w:rPr>
        <w:t>GMSK1/2 + 8PSK1</w:t>
      </w:r>
      <w:r w:rsidR="00EC1863">
        <w:rPr>
          <w:color w:val="FF0000"/>
        </w:rPr>
        <w:t>”).</w:t>
      </w:r>
    </w:p>
    <w:p w14:paraId="4D84595A" w14:textId="7140B0F6" w:rsidR="000E20BC" w:rsidRPr="00CC3991" w:rsidRDefault="000E20BC" w:rsidP="000E20BC">
      <w:pPr>
        <w:pStyle w:val="ListParagraph"/>
        <w:numPr>
          <w:ilvl w:val="1"/>
          <w:numId w:val="19"/>
        </w:numPr>
        <w:spacing w:after="0" w:line="240" w:lineRule="auto"/>
        <w:contextualSpacing w:val="0"/>
        <w:rPr>
          <w:color w:val="FF0000"/>
        </w:rPr>
      </w:pPr>
      <w:r w:rsidRPr="00CC3991">
        <w:rPr>
          <w:color w:val="FF0000"/>
        </w:rPr>
        <w:t>”GMSK1 + 8PSK2” and ”GMSK2 + 8PSK2”</w:t>
      </w:r>
      <w:r w:rsidR="00020FC2">
        <w:rPr>
          <w:color w:val="FF0000"/>
        </w:rPr>
        <w:t xml:space="preserve">, i.e. how legacy GMSK sets perform </w:t>
      </w:r>
      <w:r w:rsidR="0084589B">
        <w:rPr>
          <w:color w:val="FF0000"/>
        </w:rPr>
        <w:t xml:space="preserve">when interfered by </w:t>
      </w:r>
      <w:r w:rsidR="00020FC2">
        <w:rPr>
          <w:color w:val="FF0000"/>
        </w:rPr>
        <w:t>the new 8PSK set,</w:t>
      </w:r>
      <w:r w:rsidRPr="00CC3991">
        <w:rPr>
          <w:color w:val="FF0000"/>
        </w:rPr>
        <w:t xml:space="preserve"> is in the middle, on each side of the legacy case</w:t>
      </w:r>
      <w:r w:rsidR="00CA3FF8" w:rsidRPr="00CC3991">
        <w:rPr>
          <w:color w:val="FF0000"/>
        </w:rPr>
        <w:t xml:space="preserve"> with difference around 0.3 </w:t>
      </w:r>
      <w:proofErr w:type="spellStart"/>
      <w:r w:rsidR="00CA3FF8" w:rsidRPr="00CC3991">
        <w:rPr>
          <w:color w:val="FF0000"/>
        </w:rPr>
        <w:t>dB</w:t>
      </w:r>
      <w:r w:rsidRPr="00CC3991">
        <w:rPr>
          <w:color w:val="FF0000"/>
        </w:rPr>
        <w:t>.</w:t>
      </w:r>
      <w:proofErr w:type="spellEnd"/>
    </w:p>
    <w:p w14:paraId="4A5E7E48" w14:textId="4AE45E97" w:rsidR="000E20BC" w:rsidRPr="00CC3991" w:rsidRDefault="000E20BC" w:rsidP="000E20BC">
      <w:pPr>
        <w:pStyle w:val="BodyText"/>
        <w:numPr>
          <w:ilvl w:val="1"/>
          <w:numId w:val="19"/>
        </w:numPr>
        <w:rPr>
          <w:color w:val="FF0000"/>
        </w:rPr>
      </w:pPr>
      <w:r w:rsidRPr="00CC3991">
        <w:rPr>
          <w:color w:val="FF0000"/>
        </w:rPr>
        <w:t xml:space="preserve">”GMSK3 + 8PSK2” </w:t>
      </w:r>
      <w:proofErr w:type="gramStart"/>
      <w:r w:rsidRPr="00CC3991">
        <w:rPr>
          <w:color w:val="FF0000"/>
        </w:rPr>
        <w:t>and</w:t>
      </w:r>
      <w:r w:rsidR="00CA3FF8" w:rsidRPr="00CC3991">
        <w:rPr>
          <w:color w:val="FF0000"/>
        </w:rPr>
        <w:t xml:space="preserve"> </w:t>
      </w:r>
      <w:r w:rsidRPr="00CC3991">
        <w:rPr>
          <w:color w:val="FF0000"/>
        </w:rPr>
        <w:t>”</w:t>
      </w:r>
      <w:proofErr w:type="gramEnd"/>
      <w:r w:rsidRPr="00CC3991">
        <w:rPr>
          <w:color w:val="FF0000"/>
        </w:rPr>
        <w:t xml:space="preserve">GMSK4 + 8PSK2” </w:t>
      </w:r>
      <w:r w:rsidR="0084589B">
        <w:rPr>
          <w:color w:val="FF0000"/>
        </w:rPr>
        <w:t>are</w:t>
      </w:r>
      <w:r w:rsidRPr="00CC3991">
        <w:rPr>
          <w:color w:val="FF0000"/>
        </w:rPr>
        <w:t xml:space="preserve"> worse</w:t>
      </w:r>
      <w:r w:rsidR="0084589B">
        <w:rPr>
          <w:color w:val="FF0000"/>
        </w:rPr>
        <w:t xml:space="preserve"> </w:t>
      </w:r>
      <w:r w:rsidR="0084589B">
        <w:rPr>
          <w:color w:val="FF0000"/>
        </w:rPr>
        <w:t>(but still better than the legacy “GMSK2 + 8PSK1” case</w:t>
      </w:r>
      <w:r w:rsidR="0084589B">
        <w:rPr>
          <w:color w:val="FF0000"/>
        </w:rPr>
        <w:t>)</w:t>
      </w:r>
      <w:r w:rsidRPr="00CC3991">
        <w:rPr>
          <w:color w:val="FF0000"/>
        </w:rPr>
        <w:t>. This is the least likely case (</w:t>
      </w:r>
      <w:r w:rsidR="00CA3FF8" w:rsidRPr="00CC3991">
        <w:rPr>
          <w:color w:val="FF0000"/>
        </w:rPr>
        <w:t>NewToN MS interfered by other NewToN MS</w:t>
      </w:r>
      <w:r w:rsidRPr="00CC3991">
        <w:rPr>
          <w:color w:val="FF0000"/>
        </w:rPr>
        <w:t>).</w:t>
      </w:r>
    </w:p>
    <w:p w14:paraId="04394980" w14:textId="360DB261" w:rsidR="00CA3FF8" w:rsidRPr="00CC3991" w:rsidRDefault="00CA3FF8" w:rsidP="00CA3FF8">
      <w:pPr>
        <w:pStyle w:val="BodyText"/>
        <w:numPr>
          <w:ilvl w:val="0"/>
          <w:numId w:val="19"/>
        </w:numPr>
        <w:rPr>
          <w:color w:val="FF0000"/>
        </w:rPr>
      </w:pPr>
      <w:r w:rsidRPr="00CC3991">
        <w:rPr>
          <w:color w:val="FF0000"/>
        </w:rPr>
        <w:t xml:space="preserve">The differences seen can be taken into account in network planning, i.e. it is shown that the NewToN sets are superior when interfered by </w:t>
      </w:r>
      <w:r w:rsidR="0084589B">
        <w:rPr>
          <w:color w:val="FF0000"/>
        </w:rPr>
        <w:t xml:space="preserve">the </w:t>
      </w:r>
      <w:r w:rsidRPr="00CC3991">
        <w:rPr>
          <w:color w:val="FF0000"/>
        </w:rPr>
        <w:t>legacy set, while NewToN GMSK sets interfered by NewToN 8PSK set is inferior.</w:t>
      </w:r>
      <w:r w:rsidR="00CC3991" w:rsidRPr="00CC3991">
        <w:rPr>
          <w:color w:val="FF0000"/>
        </w:rPr>
        <w:t xml:space="preserve"> Hence, effectively a network could have more loose relation between cells of new TSCs, and stronger relation between cells using new and legacy sets</w:t>
      </w:r>
      <w:r w:rsidR="008D6A82">
        <w:rPr>
          <w:color w:val="FF0000"/>
        </w:rPr>
        <w:t xml:space="preserve"> respec</w:t>
      </w:r>
      <w:r w:rsidR="00D93DF6">
        <w:rPr>
          <w:color w:val="FF0000"/>
        </w:rPr>
        <w:t>t</w:t>
      </w:r>
      <w:r w:rsidR="008D6A82">
        <w:rPr>
          <w:color w:val="FF0000"/>
        </w:rPr>
        <w:t>i</w:t>
      </w:r>
      <w:r w:rsidR="00D93DF6">
        <w:rPr>
          <w:color w:val="FF0000"/>
        </w:rPr>
        <w:t>vely</w:t>
      </w:r>
      <w:r w:rsidR="00CC3991" w:rsidRPr="00CC3991">
        <w:rPr>
          <w:color w:val="FF0000"/>
        </w:rPr>
        <w:t>.</w:t>
      </w:r>
    </w:p>
    <w:p w14:paraId="43D44D38" w14:textId="77777777" w:rsidR="004876C1" w:rsidRDefault="004876C1" w:rsidP="005234C8">
      <w:pPr>
        <w:pStyle w:val="Heading1"/>
      </w:pPr>
      <w:r>
        <w:lastRenderedPageBreak/>
        <w:t>Conclusions</w:t>
      </w:r>
    </w:p>
    <w:p w14:paraId="347B6665" w14:textId="2E09EC97" w:rsidR="00077E6D" w:rsidRDefault="00D3308F" w:rsidP="00D3308F">
      <w:r>
        <w:t>In this contribution, the impact of co-TSC interference (interference with the same TSC as the wanted signal in a synchronized network) has been investigated. Further, the gains of having a sparser TSC plan (as enabled by</w:t>
      </w:r>
      <w:r w:rsidR="005F54AC">
        <w:t xml:space="preserve"> e.g.</w:t>
      </w:r>
      <w:r>
        <w:t xml:space="preserve"> NewToN) have been assessed. It was found that by using 16 TSCs instead of eight in the TSC plan, the probability of strong co-TSC </w:t>
      </w:r>
      <w:r w:rsidR="0036011B">
        <w:t>interference</w:t>
      </w:r>
      <w:r>
        <w:t xml:space="preserve"> can be reduced, resul</w:t>
      </w:r>
      <w:r w:rsidR="00C40180">
        <w:t xml:space="preserve">ting in a link level gain of </w:t>
      </w:r>
      <w:r w:rsidR="00876A81">
        <w:t xml:space="preserve">around </w:t>
      </w:r>
      <w:r w:rsidR="00876A81" w:rsidRPr="00876A81">
        <w:rPr>
          <w:color w:val="FF0000"/>
        </w:rPr>
        <w:t>2</w:t>
      </w:r>
      <w:r w:rsidR="00C40180" w:rsidRPr="00876A81">
        <w:rPr>
          <w:color w:val="FF0000"/>
        </w:rPr>
        <w:t xml:space="preserve"> </w:t>
      </w:r>
      <w:proofErr w:type="spellStart"/>
      <w:r w:rsidR="00C40180" w:rsidRPr="00876A81">
        <w:rPr>
          <w:color w:val="FF0000"/>
        </w:rPr>
        <w:t>dB.</w:t>
      </w:r>
      <w:proofErr w:type="spellEnd"/>
    </w:p>
    <w:p w14:paraId="15491394" w14:textId="563DCF1C" w:rsidR="00077E6D" w:rsidRDefault="00077E6D" w:rsidP="00D3308F">
      <w:r>
        <w:t>The new TSC set has also been investigated on system level u</w:t>
      </w:r>
      <w:r w:rsidR="00757390">
        <w:t>sing</w:t>
      </w:r>
      <w:r>
        <w:t xml:space="preserve"> a dynamic system level simulator with </w:t>
      </w:r>
      <w:r w:rsidR="00757390">
        <w:t xml:space="preserve">an integrated link level simulator object in detail modeling the </w:t>
      </w:r>
      <w:r w:rsidR="007034E7">
        <w:t>impact of</w:t>
      </w:r>
      <w:r w:rsidR="00757390">
        <w:t xml:space="preserve"> TSCs </w:t>
      </w:r>
      <w:r w:rsidR="007034E7">
        <w:t xml:space="preserve">allocation </w:t>
      </w:r>
      <w:r w:rsidR="00757390">
        <w:t xml:space="preserve">for each radio link. System capacity gains in the range of </w:t>
      </w:r>
      <w:r w:rsidR="00E007EA">
        <w:t>3</w:t>
      </w:r>
      <w:r w:rsidR="00BF2D96">
        <w:t>4</w:t>
      </w:r>
      <w:r w:rsidR="00E007EA">
        <w:t xml:space="preserve"> - 47 </w:t>
      </w:r>
      <w:r w:rsidR="00757390">
        <w:t>% were observed compared to a system utilizing TSC set 1 for the TSC plan.</w:t>
      </w:r>
      <w:r w:rsidR="007E1C9F">
        <w:t xml:space="preserve"> </w:t>
      </w:r>
      <w:r w:rsidR="007E1C9F" w:rsidRPr="007E1C9F">
        <w:rPr>
          <w:color w:val="FF0000"/>
        </w:rPr>
        <w:t>When NewToN was used together with VAMOS</w:t>
      </w:r>
      <w:r w:rsidR="00600715">
        <w:rPr>
          <w:color w:val="FF0000"/>
        </w:rPr>
        <w:t>,</w:t>
      </w:r>
      <w:r w:rsidR="007E1C9F" w:rsidRPr="007E1C9F">
        <w:rPr>
          <w:color w:val="FF0000"/>
        </w:rPr>
        <w:t xml:space="preserve"> additional VAMOS capacity gains of 1</w:t>
      </w:r>
      <w:r w:rsidR="0062703B">
        <w:rPr>
          <w:color w:val="FF0000"/>
        </w:rPr>
        <w:t>2</w:t>
      </w:r>
      <w:r w:rsidR="008F2B91">
        <w:rPr>
          <w:color w:val="FF0000"/>
        </w:rPr>
        <w:t xml:space="preserve"> </w:t>
      </w:r>
      <w:r w:rsidR="007E1C9F" w:rsidRPr="007E1C9F">
        <w:rPr>
          <w:color w:val="FF0000"/>
        </w:rPr>
        <w:t>-</w:t>
      </w:r>
      <w:r w:rsidR="008F2B91">
        <w:rPr>
          <w:color w:val="FF0000"/>
        </w:rPr>
        <w:t xml:space="preserve"> </w:t>
      </w:r>
      <w:r w:rsidR="007E1C9F" w:rsidRPr="007E1C9F">
        <w:rPr>
          <w:color w:val="FF0000"/>
        </w:rPr>
        <w:t>1</w:t>
      </w:r>
      <w:r w:rsidR="0062703B">
        <w:rPr>
          <w:color w:val="FF0000"/>
        </w:rPr>
        <w:t>8</w:t>
      </w:r>
      <w:r w:rsidR="007E1C9F" w:rsidRPr="007E1C9F">
        <w:rPr>
          <w:color w:val="FF0000"/>
        </w:rPr>
        <w:t xml:space="preserve"> percentage points were observed.</w:t>
      </w:r>
    </w:p>
    <w:p w14:paraId="4E462B9D" w14:textId="0DFF7A17" w:rsidR="007034E7" w:rsidRPr="00D3308F" w:rsidRDefault="007034E7" w:rsidP="00D3308F">
      <w:r>
        <w:t xml:space="preserve">Furthermore, the proposed TSC set was evaluated with the agreed framework to provide on average 1.5 dB and 0.7 dB gains respectively when compared with TSC set 1 and TSC set 1 and TSC set 2. The gains were seen to provide rather large variations depending on scenario with maximum gain at 4.8 dB, but also noting </w:t>
      </w:r>
      <w:r w:rsidR="00D41D5B">
        <w:t xml:space="preserve">some </w:t>
      </w:r>
      <w:r>
        <w:t xml:space="preserve">losses </w:t>
      </w:r>
      <w:r w:rsidR="00D41D5B">
        <w:t xml:space="preserve">mainly </w:t>
      </w:r>
      <w:r>
        <w:t>in the less prioritized scenarios according to the agreed framework.</w:t>
      </w:r>
      <w:r w:rsidR="00876A81">
        <w:t xml:space="preserve"> </w:t>
      </w:r>
      <w:r w:rsidR="00876A81" w:rsidRPr="00876A81">
        <w:rPr>
          <w:color w:val="FF0000"/>
        </w:rPr>
        <w:t xml:space="preserve">For one important case a loss </w:t>
      </w:r>
      <w:r w:rsidR="0084589B">
        <w:rPr>
          <w:color w:val="FF0000"/>
        </w:rPr>
        <w:t xml:space="preserve">of </w:t>
      </w:r>
      <w:r w:rsidR="00876A81" w:rsidRPr="00876A81">
        <w:rPr>
          <w:color w:val="FF0000"/>
        </w:rPr>
        <w:t>up to 1 dB was observed</w:t>
      </w:r>
      <w:r w:rsidR="0084589B">
        <w:rPr>
          <w:color w:val="FF0000"/>
        </w:rPr>
        <w:t>.</w:t>
      </w:r>
      <w:r w:rsidR="00876A81" w:rsidRPr="00876A81">
        <w:rPr>
          <w:color w:val="FF0000"/>
        </w:rPr>
        <w:t xml:space="preserve"> </w:t>
      </w:r>
      <w:r w:rsidR="0084589B">
        <w:rPr>
          <w:color w:val="FF0000"/>
        </w:rPr>
        <w:t>M</w:t>
      </w:r>
      <w:r w:rsidR="00876A81" w:rsidRPr="00876A81">
        <w:rPr>
          <w:color w:val="FF0000"/>
        </w:rPr>
        <w:t>ore analysis was provided to explain the reason for the performance difference, showing that the new GMSK sets int</w:t>
      </w:r>
      <w:r w:rsidR="0084589B">
        <w:rPr>
          <w:color w:val="FF0000"/>
        </w:rPr>
        <w:t>erfered by legacy 8PSK set (sub-</w:t>
      </w:r>
      <w:bookmarkStart w:id="21" w:name="_GoBack"/>
      <w:bookmarkEnd w:id="21"/>
      <w:r w:rsidR="00876A81" w:rsidRPr="00876A81">
        <w:rPr>
          <w:color w:val="FF0000"/>
        </w:rPr>
        <w:t>set of the total metric) provides a gain of roughly 1.5 dB</w:t>
      </w:r>
      <w:r w:rsidR="00E84970">
        <w:rPr>
          <w:color w:val="FF0000"/>
        </w:rPr>
        <w:t xml:space="preserve">, which is </w:t>
      </w:r>
      <w:r w:rsidR="00876A81" w:rsidRPr="00876A81">
        <w:rPr>
          <w:color w:val="FF0000"/>
        </w:rPr>
        <w:t>considered to be the most important sub-set</w:t>
      </w:r>
      <w:r w:rsidR="00E84970">
        <w:rPr>
          <w:color w:val="FF0000"/>
        </w:rPr>
        <w:t xml:space="preserve"> of this metric</w:t>
      </w:r>
      <w:r w:rsidR="00876A81" w:rsidRPr="00876A81">
        <w:rPr>
          <w:color w:val="FF0000"/>
        </w:rPr>
        <w:t>.</w:t>
      </w:r>
    </w:p>
    <w:p w14:paraId="43D44D3A" w14:textId="77777777" w:rsidR="00E17DDB" w:rsidRDefault="00E17DDB" w:rsidP="005234C8">
      <w:pPr>
        <w:pStyle w:val="Heading1"/>
      </w:pPr>
      <w:r>
        <w:t>References</w:t>
      </w:r>
    </w:p>
    <w:bookmarkStart w:id="22" w:name="_Ref379897437"/>
    <w:p w14:paraId="29C6D528" w14:textId="77777777" w:rsidR="008C7E64" w:rsidRDefault="008C7E64" w:rsidP="008C7E64">
      <w:pPr>
        <w:pStyle w:val="Reference"/>
      </w:pPr>
      <w:r>
        <w:fldChar w:fldCharType="begin"/>
      </w:r>
      <w:r w:rsidRPr="00AB62DD">
        <w:instrText xml:space="preserve"> HYPERLINK "ftp://www.3gpp.org/tsg_geran/TSG_GERAN/GERAN_60_Zhuhai/Docs/GP-131139.zip" </w:instrText>
      </w:r>
      <w:r>
        <w:fldChar w:fldCharType="separate"/>
      </w:r>
      <w:r w:rsidRPr="00B14F37">
        <w:rPr>
          <w:rStyle w:val="Hyperlink"/>
        </w:rPr>
        <w:t>GP-131139</w:t>
      </w:r>
      <w:r>
        <w:fldChar w:fldCharType="end"/>
      </w:r>
      <w:r w:rsidRPr="00B14F37">
        <w:t xml:space="preserve">, “New Training Sequence Codes for GERAN”, source Telefon AB LM Ericsson, Telecom Italia </w:t>
      </w:r>
      <w:proofErr w:type="spellStart"/>
      <w:r w:rsidRPr="00B14F37">
        <w:t>S.p.A</w:t>
      </w:r>
      <w:proofErr w:type="spellEnd"/>
      <w:r w:rsidRPr="00B14F37">
        <w:t xml:space="preserve">., China Mobile Com. </w:t>
      </w:r>
      <w:r w:rsidRPr="00AB62DD">
        <w:t xml:space="preserve">Corporation, NOKIA Corporation, Alcatel-Lucent, Vodafone Group, Com-Research GmbH. </w:t>
      </w:r>
      <w:r>
        <w:t>GERAN#60</w:t>
      </w:r>
      <w:bookmarkEnd w:id="22"/>
    </w:p>
    <w:bookmarkStart w:id="23" w:name="_Ref396315673"/>
    <w:p w14:paraId="72CBB24F" w14:textId="1A12940D" w:rsidR="00D75F90" w:rsidRPr="00C40180" w:rsidRDefault="00C31775" w:rsidP="008C7E64">
      <w:pPr>
        <w:pStyle w:val="Reference"/>
      </w:pPr>
      <w:r>
        <w:fldChar w:fldCharType="begin"/>
      </w:r>
      <w:r>
        <w:instrText xml:space="preserve"> HYPERLINK "ftp://www.3gpp.org/tsg_geran/TSG_GERAN/GERAN_62_Valencia/Docs/GP-140352.zip" </w:instrText>
      </w:r>
      <w:r>
        <w:fldChar w:fldCharType="separate"/>
      </w:r>
      <w:r w:rsidR="00C40180" w:rsidRPr="00C31775">
        <w:rPr>
          <w:rStyle w:val="Hyperlink"/>
        </w:rPr>
        <w:t>GP-140352</w:t>
      </w:r>
      <w:r>
        <w:fldChar w:fldCharType="end"/>
      </w:r>
      <w:r w:rsidR="00D75F90" w:rsidRPr="00C40180">
        <w:t xml:space="preserve">, </w:t>
      </w:r>
      <w:r w:rsidR="00C40180" w:rsidRPr="00C40180">
        <w:t>“NewToN – Working assumptions”</w:t>
      </w:r>
      <w:r w:rsidR="00D75F90" w:rsidRPr="00C40180">
        <w:t xml:space="preserve">, source </w:t>
      </w:r>
      <w:r w:rsidR="00C40180" w:rsidRPr="00C40180">
        <w:t>Ericsson</w:t>
      </w:r>
      <w:r w:rsidR="00D75F90" w:rsidRPr="00C40180">
        <w:t>. GERAN #</w:t>
      </w:r>
      <w:bookmarkEnd w:id="23"/>
      <w:r w:rsidR="00C40180" w:rsidRPr="00C40180">
        <w:t>62</w:t>
      </w:r>
    </w:p>
    <w:bookmarkStart w:id="24" w:name="_Ref396241139"/>
    <w:p w14:paraId="75F5A99A" w14:textId="77777777" w:rsidR="00161CB7" w:rsidRDefault="00161CB7" w:rsidP="00161CB7">
      <w:pPr>
        <w:pStyle w:val="Reference"/>
      </w:pPr>
      <w:r>
        <w:fldChar w:fldCharType="begin"/>
      </w:r>
      <w:r>
        <w:instrText xml:space="preserve"> HYPERLINK "ftp://www.3gpp.org/tsg_geran/TSG_GERAN/GERAN_63_Ljubljana/Docs/GP-140587.zip" </w:instrText>
      </w:r>
      <w:r>
        <w:fldChar w:fldCharType="separate"/>
      </w:r>
      <w:r>
        <w:rPr>
          <w:rStyle w:val="Hyperlink"/>
        </w:rPr>
        <w:t>GP-140587</w:t>
      </w:r>
      <w:r>
        <w:fldChar w:fldCharType="end"/>
      </w:r>
      <w:r>
        <w:t>. “Training sequence design for NewToN”, source Ericsson. GERAN#63</w:t>
      </w:r>
      <w:bookmarkEnd w:id="24"/>
    </w:p>
    <w:bookmarkStart w:id="25" w:name="_Ref396643920"/>
    <w:p w14:paraId="2C030443" w14:textId="452546A4" w:rsidR="008C7E64" w:rsidRDefault="00B93439" w:rsidP="008C7E64">
      <w:pPr>
        <w:pStyle w:val="Reference"/>
      </w:pPr>
      <w:r>
        <w:fldChar w:fldCharType="begin"/>
      </w:r>
      <w:r>
        <w:instrText xml:space="preserve"> HYPERLINK "ftp://www.3gpp.org/tsg_geran/TSG_GERAN/GERAN_48_San_Jose_del_Cabo/Docs/GP-101844.zip" </w:instrText>
      </w:r>
      <w:r>
        <w:fldChar w:fldCharType="separate"/>
      </w:r>
      <w:r>
        <w:rPr>
          <w:rStyle w:val="Hyperlink"/>
        </w:rPr>
        <w:t>GP-101844</w:t>
      </w:r>
      <w:r>
        <w:fldChar w:fldCharType="end"/>
      </w:r>
      <w:r>
        <w:t>,</w:t>
      </w:r>
      <w:r w:rsidRPr="00B93439">
        <w:tab/>
      </w:r>
      <w:r>
        <w:t>“</w:t>
      </w:r>
      <w:r w:rsidRPr="00B93439">
        <w:t>Link performance methodology for system level evaluations (update of GP-101544)</w:t>
      </w:r>
      <w:r>
        <w:t>”,</w:t>
      </w:r>
      <w:r w:rsidR="00D41D5B">
        <w:t xml:space="preserve"> </w:t>
      </w:r>
      <w:r>
        <w:t xml:space="preserve">source </w:t>
      </w:r>
      <w:r w:rsidRPr="00B93439">
        <w:tab/>
        <w:t>Telefon AB LM Ericsson, ST-Ericsson SA</w:t>
      </w:r>
      <w:r>
        <w:t>. GERAN#48.</w:t>
      </w:r>
      <w:bookmarkEnd w:id="25"/>
    </w:p>
    <w:bookmarkStart w:id="26" w:name="_Ref402806569"/>
    <w:p w14:paraId="46797F5B" w14:textId="1DE131F8" w:rsidR="00FB4435" w:rsidRPr="00980226" w:rsidRDefault="00B9712E" w:rsidP="008C7E64">
      <w:pPr>
        <w:pStyle w:val="Reference"/>
        <w:rPr>
          <w:color w:val="FF0000"/>
        </w:rPr>
      </w:pPr>
      <w:r>
        <w:fldChar w:fldCharType="begin"/>
      </w:r>
      <w:r>
        <w:instrText xml:space="preserve"> HYPERLINK "ftp://www.3gpp.org/tsg_geran/TSG_GERAN/GERAN_63_Ljubljana/Docs/GP-140542.zip" </w:instrText>
      </w:r>
      <w:r>
        <w:fldChar w:fldCharType="separate"/>
      </w:r>
      <w:r w:rsidR="00FB4435" w:rsidRPr="00980226">
        <w:rPr>
          <w:rStyle w:val="Hyperlink"/>
          <w:color w:val="FF0000"/>
        </w:rPr>
        <w:t>GP-140542</w:t>
      </w:r>
      <w:r>
        <w:rPr>
          <w:rStyle w:val="Hyperlink"/>
          <w:color w:val="FF0000"/>
        </w:rPr>
        <w:fldChar w:fldCharType="end"/>
      </w:r>
      <w:r w:rsidR="00FB4435" w:rsidRPr="00980226">
        <w:rPr>
          <w:color w:val="FF0000"/>
        </w:rPr>
        <w:t>, “NewToN work item exception”, source WI Rapporteur. GERAN#63</w:t>
      </w:r>
      <w:bookmarkEnd w:id="26"/>
    </w:p>
    <w:p w14:paraId="43D44D42" w14:textId="32D1DB61" w:rsidR="00310B76" w:rsidRDefault="0004018C" w:rsidP="005234C8">
      <w:pPr>
        <w:pStyle w:val="Heading1"/>
      </w:pPr>
      <w:r>
        <w:t>Annex A: Performance comparison according to NewToN performance framework</w:t>
      </w:r>
    </w:p>
    <w:p w14:paraId="581FEBBC" w14:textId="77777777" w:rsidR="009B4E56" w:rsidRDefault="00AF08B4" w:rsidP="0004018C">
      <w:r>
        <w:fldChar w:fldCharType="begin"/>
      </w:r>
      <w:r>
        <w:instrText xml:space="preserve"> REF _Ref396477867 \h </w:instrText>
      </w:r>
      <w:r>
        <w:fldChar w:fldCharType="separate"/>
      </w:r>
      <w:r w:rsidR="002A7BC0">
        <w:t xml:space="preserve">Figure </w:t>
      </w:r>
      <w:r w:rsidR="002A7BC0">
        <w:rPr>
          <w:noProof/>
        </w:rPr>
        <w:t>11</w:t>
      </w:r>
      <w:r>
        <w:fldChar w:fldCharType="end"/>
      </w:r>
      <w:r>
        <w:t xml:space="preserve"> summarizes the gains of the proposed NewToN TSC sets in </w:t>
      </w:r>
      <w:r>
        <w:fldChar w:fldCharType="begin"/>
      </w:r>
      <w:r>
        <w:instrText xml:space="preserve"> REF _Ref396241139 \r \h </w:instrText>
      </w:r>
      <w:r>
        <w:fldChar w:fldCharType="separate"/>
      </w:r>
      <w:r w:rsidR="002A7BC0">
        <w:t>[3]</w:t>
      </w:r>
      <w:r>
        <w:fldChar w:fldCharType="end"/>
      </w:r>
      <w:r>
        <w:t xml:space="preserve"> compared to legacy TSC Sets, according to the performance evaluation framework</w:t>
      </w:r>
      <w:r w:rsidRPr="00AF08B4">
        <w:t xml:space="preserve"> </w:t>
      </w:r>
      <w:r>
        <w:t xml:space="preserve">in </w:t>
      </w:r>
      <w:r>
        <w:fldChar w:fldCharType="begin"/>
      </w:r>
      <w:r>
        <w:instrText xml:space="preserve"> REF _Ref396315673 \r \h </w:instrText>
      </w:r>
      <w:r>
        <w:fldChar w:fldCharType="separate"/>
      </w:r>
      <w:r w:rsidR="002A7BC0">
        <w:t>[2]</w:t>
      </w:r>
      <w:r>
        <w:fldChar w:fldCharType="end"/>
      </w:r>
      <w:r>
        <w:t>.</w:t>
      </w:r>
    </w:p>
    <w:p w14:paraId="1FA6D976" w14:textId="1A0CF1C7" w:rsidR="009B4E56" w:rsidRDefault="00AF08B4" w:rsidP="0004018C">
      <w:r>
        <w:t xml:space="preserve">In the left table, </w:t>
      </w:r>
      <w:r w:rsidR="009B4E56">
        <w:t xml:space="preserve">GMSK TSC Set 2 was excluded </w:t>
      </w:r>
      <w:r>
        <w:t>except for the sensitivity performance with VAMOS</w:t>
      </w:r>
      <w:r w:rsidR="00A67481">
        <w:t>, for which GMSK TSC Set 2 was included</w:t>
      </w:r>
      <w:r w:rsidR="009B4E56">
        <w:t>.</w:t>
      </w:r>
    </w:p>
    <w:p w14:paraId="3093D7FD" w14:textId="1C0ECE9E" w:rsidR="0004018C" w:rsidRDefault="00AF08B4" w:rsidP="0004018C">
      <w:r>
        <w:t xml:space="preserve">In the right table, GMSK TSC Set 2 </w:t>
      </w:r>
      <w:r w:rsidR="009F0EE8">
        <w:t>is</w:t>
      </w:r>
      <w:r>
        <w:t xml:space="preserve"> </w:t>
      </w:r>
      <w:r w:rsidR="009F0EE8">
        <w:t>included</w:t>
      </w:r>
      <w:r w:rsidR="009B4E56">
        <w:t xml:space="preserve"> also in the non-VAMOS simulations.</w:t>
      </w:r>
    </w:p>
    <w:p w14:paraId="5DCB8CD6" w14:textId="2B06DDF7" w:rsidR="003838D9" w:rsidRDefault="00D41D5B" w:rsidP="00C13E67">
      <w:pPr>
        <w:jc w:val="center"/>
      </w:pPr>
      <w:r w:rsidRPr="00D41D5B">
        <w:rPr>
          <w:noProof/>
        </w:rPr>
        <w:lastRenderedPageBreak/>
        <w:drawing>
          <wp:inline distT="0" distB="0" distL="0" distR="0" wp14:anchorId="3862D4D5" wp14:editId="19CAEF49">
            <wp:extent cx="4056467" cy="4454957"/>
            <wp:effectExtent l="0" t="0" r="127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57563" cy="4456160"/>
                    </a:xfrm>
                    <a:prstGeom prst="rect">
                      <a:avLst/>
                    </a:prstGeom>
                    <a:noFill/>
                    <a:ln>
                      <a:noFill/>
                    </a:ln>
                  </pic:spPr>
                </pic:pic>
              </a:graphicData>
            </a:graphic>
          </wp:inline>
        </w:drawing>
      </w:r>
    </w:p>
    <w:p w14:paraId="44C81A21" w14:textId="3E8C6E17" w:rsidR="00C13E67" w:rsidRDefault="00C13E67" w:rsidP="00C13E67">
      <w:pPr>
        <w:pStyle w:val="Caption"/>
        <w:ind w:left="0" w:firstLine="142"/>
      </w:pPr>
      <w:bookmarkStart w:id="27" w:name="_Ref396477867"/>
      <w:r>
        <w:t xml:space="preserve">Figure </w:t>
      </w:r>
      <w:r w:rsidR="0059426A">
        <w:fldChar w:fldCharType="begin"/>
      </w:r>
      <w:r w:rsidR="0059426A">
        <w:instrText xml:space="preserve"> SEQ Figure \* ARABIC </w:instrText>
      </w:r>
      <w:r w:rsidR="0059426A">
        <w:fldChar w:fldCharType="separate"/>
      </w:r>
      <w:r w:rsidR="002A7BC0">
        <w:rPr>
          <w:noProof/>
        </w:rPr>
        <w:t>11</w:t>
      </w:r>
      <w:r w:rsidR="0059426A">
        <w:rPr>
          <w:noProof/>
        </w:rPr>
        <w:fldChar w:fldCharType="end"/>
      </w:r>
      <w:bookmarkEnd w:id="27"/>
      <w:r>
        <w:t xml:space="preserve">: Performance evaluation of TSC proposal according to </w:t>
      </w:r>
      <w:r w:rsidR="00C40180">
        <w:t xml:space="preserve">the </w:t>
      </w:r>
      <w:r>
        <w:t>framework, compared to legacy training sequences</w:t>
      </w:r>
      <w:r w:rsidR="003838D9">
        <w:t>, using a BTS receiver</w:t>
      </w:r>
      <w:r>
        <w:t>.</w:t>
      </w:r>
    </w:p>
    <w:p w14:paraId="693306C9" w14:textId="7DBA148B" w:rsidR="00C13E67" w:rsidRPr="005234C8" w:rsidRDefault="00540BF3" w:rsidP="005234C8">
      <w:pPr>
        <w:pStyle w:val="Heading1"/>
      </w:pPr>
      <w:bookmarkStart w:id="28" w:name="_Ref403487103"/>
      <w:r w:rsidRPr="005234C8">
        <w:t>Annex B</w:t>
      </w:r>
      <w:bookmarkEnd w:id="28"/>
    </w:p>
    <w:p w14:paraId="4AC83585" w14:textId="72516B83" w:rsidR="00540BF3" w:rsidRPr="00A579D6" w:rsidRDefault="00540BF3" w:rsidP="00540BF3">
      <w:pPr>
        <w:rPr>
          <w:color w:val="FF0000"/>
        </w:rPr>
      </w:pPr>
      <w:r w:rsidRPr="00A579D6">
        <w:rPr>
          <w:color w:val="FF0000"/>
        </w:rPr>
        <w:t xml:space="preserve">In this Annex </w:t>
      </w:r>
      <w:r w:rsidR="005234C8" w:rsidRPr="00A579D6">
        <w:rPr>
          <w:color w:val="FF0000"/>
        </w:rPr>
        <w:t>contains link level p</w:t>
      </w:r>
      <w:r w:rsidRPr="00A579D6">
        <w:rPr>
          <w:color w:val="FF0000"/>
        </w:rPr>
        <w:t>lots of class 1A FER versus C/I</w:t>
      </w:r>
      <w:r w:rsidR="005234C8" w:rsidRPr="00A579D6">
        <w:rPr>
          <w:color w:val="FF0000"/>
        </w:rPr>
        <w:t xml:space="preserve"> based on the methodology in Section </w:t>
      </w:r>
      <w:r w:rsidR="005234C8" w:rsidRPr="00A579D6">
        <w:rPr>
          <w:color w:val="FF0000"/>
        </w:rPr>
        <w:fldChar w:fldCharType="begin"/>
      </w:r>
      <w:r w:rsidR="005234C8" w:rsidRPr="00A579D6">
        <w:rPr>
          <w:color w:val="FF0000"/>
        </w:rPr>
        <w:instrText xml:space="preserve"> REF _Ref396765482 \r \h </w:instrText>
      </w:r>
      <w:r w:rsidR="005234C8" w:rsidRPr="00A579D6">
        <w:rPr>
          <w:color w:val="FF0000"/>
        </w:rPr>
      </w:r>
      <w:r w:rsidR="005234C8" w:rsidRPr="00A579D6">
        <w:rPr>
          <w:color w:val="FF0000"/>
        </w:rPr>
        <w:fldChar w:fldCharType="separate"/>
      </w:r>
      <w:r w:rsidR="002A7BC0">
        <w:rPr>
          <w:color w:val="FF0000"/>
        </w:rPr>
        <w:t>2</w:t>
      </w:r>
      <w:r w:rsidR="005234C8" w:rsidRPr="00A579D6">
        <w:rPr>
          <w:color w:val="FF0000"/>
        </w:rPr>
        <w:fldChar w:fldCharType="end"/>
      </w:r>
      <w:r w:rsidR="00D52EC3" w:rsidRPr="00A579D6">
        <w:rPr>
          <w:color w:val="FF0000"/>
        </w:rPr>
        <w:t xml:space="preserve"> for the different codecs listed in </w:t>
      </w:r>
      <w:r w:rsidR="00D52EC3" w:rsidRPr="00A579D6">
        <w:rPr>
          <w:color w:val="FF0000"/>
        </w:rPr>
        <w:fldChar w:fldCharType="begin"/>
      </w:r>
      <w:r w:rsidR="00D52EC3" w:rsidRPr="00A579D6">
        <w:rPr>
          <w:color w:val="FF0000"/>
        </w:rPr>
        <w:instrText xml:space="preserve"> REF _Ref396333606 \h </w:instrText>
      </w:r>
      <w:r w:rsidR="00D52EC3" w:rsidRPr="00A579D6">
        <w:rPr>
          <w:color w:val="FF0000"/>
        </w:rPr>
      </w:r>
      <w:r w:rsidR="00D52EC3" w:rsidRPr="00A579D6">
        <w:rPr>
          <w:color w:val="FF0000"/>
        </w:rPr>
        <w:fldChar w:fldCharType="separate"/>
      </w:r>
      <w:r w:rsidR="002A7BC0">
        <w:t xml:space="preserve">Table </w:t>
      </w:r>
      <w:r w:rsidR="002A7BC0">
        <w:rPr>
          <w:noProof/>
        </w:rPr>
        <w:t>3</w:t>
      </w:r>
      <w:r w:rsidR="00D52EC3" w:rsidRPr="00A579D6">
        <w:rPr>
          <w:color w:val="FF0000"/>
        </w:rPr>
        <w:fldChar w:fldCharType="end"/>
      </w:r>
      <w:r w:rsidR="005234C8" w:rsidRPr="00A579D6">
        <w:rPr>
          <w:color w:val="FF0000"/>
        </w:rPr>
        <w:t>.</w:t>
      </w:r>
    </w:p>
    <w:tbl>
      <w:tblPr>
        <w:tblStyle w:val="TableGrid"/>
        <w:tblW w:w="0" w:type="auto"/>
        <w:tblLook w:val="04A0" w:firstRow="1" w:lastRow="0" w:firstColumn="1" w:lastColumn="0" w:noHBand="0" w:noVBand="1"/>
      </w:tblPr>
      <w:tblGrid>
        <w:gridCol w:w="4242"/>
        <w:gridCol w:w="4242"/>
      </w:tblGrid>
      <w:tr w:rsidR="00A579D6" w14:paraId="561D84BB" w14:textId="77777777" w:rsidTr="00A579D6">
        <w:tc>
          <w:tcPr>
            <w:tcW w:w="4242" w:type="dxa"/>
          </w:tcPr>
          <w:p w14:paraId="6B70DDDB" w14:textId="63A570DD" w:rsidR="00A579D6" w:rsidRDefault="00A579D6" w:rsidP="00540BF3">
            <w:r>
              <w:rPr>
                <w:noProof/>
              </w:rPr>
              <w:drawing>
                <wp:inline distT="0" distB="0" distL="0" distR="0" wp14:anchorId="5CE7AD4B" wp14:editId="3EEFFC60">
                  <wp:extent cx="2624561" cy="1751611"/>
                  <wp:effectExtent l="0" t="0" r="444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4_NewToN_from_system_level_UL_AFS475.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625092" cy="1751965"/>
                          </a:xfrm>
                          <a:prstGeom prst="rect">
                            <a:avLst/>
                          </a:prstGeom>
                        </pic:spPr>
                      </pic:pic>
                    </a:graphicData>
                  </a:graphic>
                </wp:inline>
              </w:drawing>
            </w:r>
          </w:p>
        </w:tc>
        <w:tc>
          <w:tcPr>
            <w:tcW w:w="4242" w:type="dxa"/>
          </w:tcPr>
          <w:p w14:paraId="63FC0375" w14:textId="610C73B9" w:rsidR="00A579D6" w:rsidRDefault="00A579D6" w:rsidP="00540BF3">
            <w:r>
              <w:rPr>
                <w:noProof/>
              </w:rPr>
              <w:drawing>
                <wp:inline distT="0" distB="0" distL="0" distR="0" wp14:anchorId="35C070AD" wp14:editId="32AF68FA">
                  <wp:extent cx="2615663" cy="1745673"/>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4_NewToN_from_system_level_UL_AFS590.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619039" cy="1747926"/>
                          </a:xfrm>
                          <a:prstGeom prst="rect">
                            <a:avLst/>
                          </a:prstGeom>
                        </pic:spPr>
                      </pic:pic>
                    </a:graphicData>
                  </a:graphic>
                </wp:inline>
              </w:drawing>
            </w:r>
          </w:p>
        </w:tc>
      </w:tr>
      <w:tr w:rsidR="00A579D6" w14:paraId="2464F924" w14:textId="77777777" w:rsidTr="00A579D6">
        <w:tc>
          <w:tcPr>
            <w:tcW w:w="4242" w:type="dxa"/>
          </w:tcPr>
          <w:p w14:paraId="4579E2FC" w14:textId="07C09CEB" w:rsidR="00A579D6" w:rsidRDefault="00A579D6" w:rsidP="00540BF3">
            <w:r>
              <w:rPr>
                <w:noProof/>
              </w:rPr>
              <w:lastRenderedPageBreak/>
              <w:drawing>
                <wp:inline distT="0" distB="0" distL="0" distR="0" wp14:anchorId="0350A41D" wp14:editId="47B49D9D">
                  <wp:extent cx="2594817" cy="1731762"/>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4_NewToN_from_system_level_UL_AFS795.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598332" cy="1734108"/>
                          </a:xfrm>
                          <a:prstGeom prst="rect">
                            <a:avLst/>
                          </a:prstGeom>
                        </pic:spPr>
                      </pic:pic>
                    </a:graphicData>
                  </a:graphic>
                </wp:inline>
              </w:drawing>
            </w:r>
          </w:p>
        </w:tc>
        <w:tc>
          <w:tcPr>
            <w:tcW w:w="4242" w:type="dxa"/>
          </w:tcPr>
          <w:p w14:paraId="7005AA59" w14:textId="045259E2" w:rsidR="00A579D6" w:rsidRDefault="00A579D6" w:rsidP="00540BF3">
            <w:r>
              <w:rPr>
                <w:noProof/>
              </w:rPr>
              <w:drawing>
                <wp:inline distT="0" distB="0" distL="0" distR="0" wp14:anchorId="664ED963" wp14:editId="79F6A432">
                  <wp:extent cx="2624505" cy="1751574"/>
                  <wp:effectExtent l="0" t="0" r="4445"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4_NewToN_from_system_level_UL_AFS122.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625089" cy="1751964"/>
                          </a:xfrm>
                          <a:prstGeom prst="rect">
                            <a:avLst/>
                          </a:prstGeom>
                        </pic:spPr>
                      </pic:pic>
                    </a:graphicData>
                  </a:graphic>
                </wp:inline>
              </w:drawing>
            </w:r>
          </w:p>
        </w:tc>
      </w:tr>
    </w:tbl>
    <w:p w14:paraId="217C2F87" w14:textId="76F35CED" w:rsidR="00A579D6" w:rsidRPr="00A579D6" w:rsidRDefault="00A579D6" w:rsidP="00A579D6">
      <w:pPr>
        <w:pStyle w:val="Caption"/>
        <w:ind w:left="0"/>
        <w:rPr>
          <w:color w:val="FF0000"/>
        </w:rPr>
      </w:pPr>
      <w:proofErr w:type="gramStart"/>
      <w:r w:rsidRPr="00A579D6">
        <w:rPr>
          <w:color w:val="FF0000"/>
        </w:rPr>
        <w:t xml:space="preserve">Figure </w:t>
      </w:r>
      <w:r w:rsidRPr="00A579D6">
        <w:rPr>
          <w:color w:val="FF0000"/>
        </w:rPr>
        <w:fldChar w:fldCharType="begin"/>
      </w:r>
      <w:r w:rsidRPr="00A579D6">
        <w:rPr>
          <w:color w:val="FF0000"/>
        </w:rPr>
        <w:instrText xml:space="preserve"> SEQ Figure \* ARABIC </w:instrText>
      </w:r>
      <w:r w:rsidRPr="00A579D6">
        <w:rPr>
          <w:color w:val="FF0000"/>
        </w:rPr>
        <w:fldChar w:fldCharType="separate"/>
      </w:r>
      <w:r w:rsidR="002A7BC0">
        <w:rPr>
          <w:noProof/>
          <w:color w:val="FF0000"/>
        </w:rPr>
        <w:t>12</w:t>
      </w:r>
      <w:r w:rsidRPr="00A579D6">
        <w:rPr>
          <w:color w:val="FF0000"/>
        </w:rPr>
        <w:fldChar w:fldCharType="end"/>
      </w:r>
      <w:r w:rsidRPr="00A579D6">
        <w:rPr>
          <w:color w:val="FF0000"/>
        </w:rPr>
        <w:t>.</w:t>
      </w:r>
      <w:proofErr w:type="gramEnd"/>
      <w:r w:rsidRPr="00A579D6">
        <w:rPr>
          <w:color w:val="FF0000"/>
        </w:rPr>
        <w:t xml:space="preserve"> FER vs C/I in uplink scenarios – AFS4.75, AFS5.90, AFS7.95, AFS12.2</w:t>
      </w:r>
    </w:p>
    <w:p w14:paraId="1D13F3C9" w14:textId="77777777" w:rsidR="00A579D6" w:rsidRDefault="00A579D6" w:rsidP="00540BF3"/>
    <w:tbl>
      <w:tblPr>
        <w:tblStyle w:val="TableGrid"/>
        <w:tblW w:w="0" w:type="auto"/>
        <w:tblLook w:val="04A0" w:firstRow="1" w:lastRow="0" w:firstColumn="1" w:lastColumn="0" w:noHBand="0" w:noVBand="1"/>
      </w:tblPr>
      <w:tblGrid>
        <w:gridCol w:w="4213"/>
        <w:gridCol w:w="4271"/>
      </w:tblGrid>
      <w:tr w:rsidR="00A579D6" w14:paraId="397EE666" w14:textId="77777777" w:rsidTr="00A579D6">
        <w:tc>
          <w:tcPr>
            <w:tcW w:w="4242" w:type="dxa"/>
          </w:tcPr>
          <w:p w14:paraId="2C1919A0" w14:textId="1AE25968" w:rsidR="00A579D6" w:rsidRDefault="00B83E38" w:rsidP="00540BF3">
            <w:r>
              <w:rPr>
                <w:noProof/>
              </w:rPr>
              <w:drawing>
                <wp:inline distT="0" distB="0" distL="0" distR="0" wp14:anchorId="788CAF56" wp14:editId="5207F8F5">
                  <wp:extent cx="2594759" cy="1731721"/>
                  <wp:effectExtent l="0" t="0" r="0" b="190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4_NewToN_from_system_level_DL_AFS475.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598061" cy="1733925"/>
                          </a:xfrm>
                          <a:prstGeom prst="rect">
                            <a:avLst/>
                          </a:prstGeom>
                        </pic:spPr>
                      </pic:pic>
                    </a:graphicData>
                  </a:graphic>
                </wp:inline>
              </w:drawing>
            </w:r>
          </w:p>
        </w:tc>
        <w:tc>
          <w:tcPr>
            <w:tcW w:w="4242" w:type="dxa"/>
          </w:tcPr>
          <w:p w14:paraId="59F8D136" w14:textId="2B5CFAB2" w:rsidR="00A579D6" w:rsidRDefault="00B83E38" w:rsidP="00540BF3">
            <w:r>
              <w:rPr>
                <w:noProof/>
              </w:rPr>
              <w:drawing>
                <wp:inline distT="0" distB="0" distL="0" distR="0" wp14:anchorId="290A5A3A" wp14:editId="4711739B">
                  <wp:extent cx="2642354" cy="1763486"/>
                  <wp:effectExtent l="0" t="0" r="5715" b="825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4_NewToN_from_system_level_DL_AFS590.pn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642986" cy="1763908"/>
                          </a:xfrm>
                          <a:prstGeom prst="rect">
                            <a:avLst/>
                          </a:prstGeom>
                        </pic:spPr>
                      </pic:pic>
                    </a:graphicData>
                  </a:graphic>
                </wp:inline>
              </w:drawing>
            </w:r>
          </w:p>
        </w:tc>
      </w:tr>
      <w:tr w:rsidR="00A579D6" w14:paraId="260B8768" w14:textId="77777777" w:rsidTr="00A579D6">
        <w:tc>
          <w:tcPr>
            <w:tcW w:w="4242" w:type="dxa"/>
          </w:tcPr>
          <w:p w14:paraId="477B3161" w14:textId="49DF65E1" w:rsidR="00A579D6" w:rsidRDefault="00B83E38" w:rsidP="00540BF3">
            <w:r>
              <w:rPr>
                <w:noProof/>
              </w:rPr>
              <w:drawing>
                <wp:inline distT="0" distB="0" distL="0" distR="0" wp14:anchorId="1A543EC2" wp14:editId="0D45DC79">
                  <wp:extent cx="2624447" cy="1751537"/>
                  <wp:effectExtent l="0" t="0" r="5080" b="127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4_NewToN_from_system_level_DL_AFS795.pn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625330" cy="1752126"/>
                          </a:xfrm>
                          <a:prstGeom prst="rect">
                            <a:avLst/>
                          </a:prstGeom>
                        </pic:spPr>
                      </pic:pic>
                    </a:graphicData>
                  </a:graphic>
                </wp:inline>
              </w:drawing>
            </w:r>
          </w:p>
        </w:tc>
        <w:tc>
          <w:tcPr>
            <w:tcW w:w="4242" w:type="dxa"/>
          </w:tcPr>
          <w:p w14:paraId="5C222C54" w14:textId="4C83E0B4" w:rsidR="00A579D6" w:rsidRDefault="00B83E38" w:rsidP="00540BF3">
            <w:r>
              <w:rPr>
                <w:noProof/>
              </w:rPr>
              <w:drawing>
                <wp:inline distT="0" distB="0" distL="0" distR="0" wp14:anchorId="7A502BBC" wp14:editId="41B44119">
                  <wp:extent cx="2665738" cy="1779093"/>
                  <wp:effectExtent l="0" t="0" r="127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4_NewToN_from_system_level_DL_AFS122.pn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669923" cy="1781886"/>
                          </a:xfrm>
                          <a:prstGeom prst="rect">
                            <a:avLst/>
                          </a:prstGeom>
                        </pic:spPr>
                      </pic:pic>
                    </a:graphicData>
                  </a:graphic>
                </wp:inline>
              </w:drawing>
            </w:r>
          </w:p>
        </w:tc>
      </w:tr>
    </w:tbl>
    <w:p w14:paraId="3F6CEC9F" w14:textId="318FD06D" w:rsidR="00A579D6" w:rsidRPr="00540BF3" w:rsidRDefault="00A579D6" w:rsidP="00A579D6">
      <w:pPr>
        <w:pStyle w:val="Caption"/>
        <w:ind w:left="0"/>
      </w:pPr>
      <w:proofErr w:type="gramStart"/>
      <w:r w:rsidRPr="00A579D6">
        <w:rPr>
          <w:color w:val="FF0000"/>
        </w:rPr>
        <w:t xml:space="preserve">Figure </w:t>
      </w:r>
      <w:r w:rsidRPr="00A579D6">
        <w:rPr>
          <w:color w:val="FF0000"/>
        </w:rPr>
        <w:fldChar w:fldCharType="begin"/>
      </w:r>
      <w:r w:rsidRPr="00A579D6">
        <w:rPr>
          <w:color w:val="FF0000"/>
        </w:rPr>
        <w:instrText xml:space="preserve"> SEQ Figure \* ARABIC </w:instrText>
      </w:r>
      <w:r w:rsidRPr="00A579D6">
        <w:rPr>
          <w:color w:val="FF0000"/>
        </w:rPr>
        <w:fldChar w:fldCharType="separate"/>
      </w:r>
      <w:r w:rsidR="002A7BC0">
        <w:rPr>
          <w:noProof/>
          <w:color w:val="FF0000"/>
        </w:rPr>
        <w:t>13</w:t>
      </w:r>
      <w:r w:rsidRPr="00A579D6">
        <w:rPr>
          <w:color w:val="FF0000"/>
        </w:rPr>
        <w:fldChar w:fldCharType="end"/>
      </w:r>
      <w:r w:rsidRPr="00A579D6">
        <w:rPr>
          <w:color w:val="FF0000"/>
        </w:rPr>
        <w:t>.</w:t>
      </w:r>
      <w:proofErr w:type="gramEnd"/>
      <w:r w:rsidRPr="00A579D6">
        <w:rPr>
          <w:color w:val="FF0000"/>
        </w:rPr>
        <w:t xml:space="preserve"> FER vs C/I in </w:t>
      </w:r>
      <w:r>
        <w:rPr>
          <w:color w:val="FF0000"/>
        </w:rPr>
        <w:t>down</w:t>
      </w:r>
      <w:r w:rsidRPr="00A579D6">
        <w:rPr>
          <w:color w:val="FF0000"/>
        </w:rPr>
        <w:t xml:space="preserve">link scenarios – AFS4.75, AFS5.90, AFS7.95, </w:t>
      </w:r>
      <w:proofErr w:type="gramStart"/>
      <w:r w:rsidRPr="00A579D6">
        <w:rPr>
          <w:color w:val="FF0000"/>
        </w:rPr>
        <w:t>AFS12.2</w:t>
      </w:r>
      <w:proofErr w:type="gramEnd"/>
    </w:p>
    <w:sectPr w:rsidR="00A579D6" w:rsidRPr="00540BF3" w:rsidSect="002D4FA5">
      <w:headerReference w:type="default" r:id="rId28"/>
      <w:footerReference w:type="default" r:id="rId29"/>
      <w:headerReference w:type="first" r:id="rId30"/>
      <w:footerReference w:type="first" r:id="rId31"/>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BCA9A8" w14:textId="77777777" w:rsidR="0059426A" w:rsidRDefault="0059426A">
      <w:r>
        <w:separator/>
      </w:r>
    </w:p>
  </w:endnote>
  <w:endnote w:type="continuationSeparator" w:id="0">
    <w:p w14:paraId="66052701" w14:textId="77777777" w:rsidR="0059426A" w:rsidRDefault="00594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D44D53" w14:textId="77777777" w:rsidR="00B62308" w:rsidRDefault="00B62308">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84589B">
      <w:rPr>
        <w:rStyle w:val="PageNumber"/>
        <w:noProof/>
      </w:rPr>
      <w:t>13</w:t>
    </w:r>
    <w:r>
      <w:rPr>
        <w:rStyle w:val="PageNumber"/>
      </w:rPr>
      <w:fldChar w:fldCharType="end"/>
    </w:r>
    <w:bookmarkStart w:id="29"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84589B">
      <w:rPr>
        <w:rStyle w:val="PageNumber"/>
        <w:noProof/>
      </w:rPr>
      <w:t>15</w:t>
    </w:r>
    <w:r>
      <w:rPr>
        <w:rStyle w:val="PageNumber"/>
      </w:rPr>
      <w:fldChar w:fldCharType="end"/>
    </w:r>
    <w:r>
      <w:rPr>
        <w:rStyle w:val="PageNumber"/>
      </w:rPr>
      <w:t>)</w:t>
    </w:r>
    <w:bookmarkEnd w:id="29"/>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D44D57" w14:textId="77777777" w:rsidR="00B62308" w:rsidRDefault="00B62308">
    <w:pPr>
      <w:pStyle w:val="Footer"/>
      <w:jc w:val="center"/>
    </w:pPr>
    <w:r>
      <w:rPr>
        <w:rStyle w:val="PageNumber"/>
      </w:rPr>
      <w:fldChar w:fldCharType="begin"/>
    </w:r>
    <w:r>
      <w:rPr>
        <w:rStyle w:val="PageNumber"/>
      </w:rPr>
      <w:instrText xml:space="preserve"> PAGE </w:instrText>
    </w:r>
    <w:r>
      <w:rPr>
        <w:rStyle w:val="PageNumber"/>
      </w:rPr>
      <w:fldChar w:fldCharType="separate"/>
    </w:r>
    <w:r w:rsidR="00890492">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90492">
      <w:rPr>
        <w:rStyle w:val="PageNumber"/>
        <w:noProof/>
      </w:rPr>
      <w:t>1</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53F51C" w14:textId="77777777" w:rsidR="0059426A" w:rsidRDefault="0059426A">
      <w:r>
        <w:separator/>
      </w:r>
    </w:p>
  </w:footnote>
  <w:footnote w:type="continuationSeparator" w:id="0">
    <w:p w14:paraId="098E8366" w14:textId="77777777" w:rsidR="0059426A" w:rsidRDefault="005942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D44D52" w14:textId="4EBC6180" w:rsidR="00B62308" w:rsidRDefault="00B62308" w:rsidP="00EA60C1">
    <w:pPr>
      <w:pStyle w:val="Header"/>
      <w:rPr>
        <w:lang w:val="sv-SE"/>
      </w:rPr>
    </w:pPr>
    <w:r>
      <w:rPr>
        <w:lang w:val="sv-SE"/>
      </w:rPr>
      <w:t>3GPP TSG GERAN#</w:t>
    </w:r>
    <w:r w:rsidR="0065280A">
      <w:rPr>
        <w:lang w:val="sv-SE"/>
      </w:rPr>
      <w:t>64</w:t>
    </w:r>
    <w:r>
      <w:rPr>
        <w:lang w:val="sv-SE"/>
      </w:rPr>
      <w:tab/>
    </w:r>
    <w:r>
      <w:rPr>
        <w:lang w:val="sv-SE"/>
      </w:rPr>
      <w:tab/>
      <w:t>Tdoc GP-</w:t>
    </w:r>
    <w:r w:rsidR="0065280A">
      <w:rPr>
        <w:lang w:val="sv-SE"/>
      </w:rPr>
      <w:t>140xxx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D44D54" w14:textId="3B2D146B" w:rsidR="00B62308" w:rsidRDefault="00B62308" w:rsidP="0015360B">
    <w:pPr>
      <w:pStyle w:val="Header"/>
      <w:spacing w:after="0"/>
      <w:rPr>
        <w:lang w:val="sv-SE"/>
      </w:rPr>
    </w:pPr>
    <w:r>
      <w:rPr>
        <w:lang w:val="sv-SE"/>
      </w:rPr>
      <w:t>3GPP TSG GERAN#6</w:t>
    </w:r>
    <w:r w:rsidR="006406F8">
      <w:rPr>
        <w:lang w:val="sv-SE"/>
      </w:rPr>
      <w:t>4</w:t>
    </w:r>
    <w:r>
      <w:rPr>
        <w:lang w:val="sv-SE"/>
      </w:rPr>
      <w:tab/>
    </w:r>
    <w:r>
      <w:rPr>
        <w:lang w:val="sv-SE"/>
      </w:rPr>
      <w:tab/>
      <w:t>Tdoc GP-140</w:t>
    </w:r>
    <w:r w:rsidR="006406F8">
      <w:rPr>
        <w:lang w:val="sv-SE"/>
      </w:rPr>
      <w:t>xxx</w:t>
    </w:r>
  </w:p>
  <w:p w14:paraId="43D44D55" w14:textId="1E87424D" w:rsidR="00B62308" w:rsidRPr="00F171F5" w:rsidRDefault="006406F8" w:rsidP="0015360B">
    <w:pPr>
      <w:pStyle w:val="Header"/>
      <w:spacing w:after="0"/>
      <w:rPr>
        <w:lang w:val="it-IT"/>
      </w:rPr>
    </w:pPr>
    <w:r>
      <w:rPr>
        <w:lang w:val="it-IT"/>
      </w:rPr>
      <w:t xml:space="preserve">San </w:t>
    </w:r>
    <w:r w:rsidR="002074A7">
      <w:rPr>
        <w:lang w:val="it-IT"/>
      </w:rPr>
      <w:t>Francisco</w:t>
    </w:r>
    <w:r>
      <w:rPr>
        <w:lang w:val="it-IT"/>
      </w:rPr>
      <w:t>, USA</w:t>
    </w:r>
    <w:r w:rsidR="00B62308" w:rsidRPr="00F171F5">
      <w:rPr>
        <w:lang w:val="it-IT"/>
      </w:rPr>
      <w:tab/>
    </w:r>
    <w:r w:rsidR="00B62308" w:rsidRPr="00F171F5">
      <w:rPr>
        <w:lang w:val="it-IT"/>
      </w:rPr>
      <w:tab/>
      <w:t xml:space="preserve">Agenda item </w:t>
    </w:r>
    <w:r>
      <w:rPr>
        <w:lang w:val="it-IT"/>
      </w:rPr>
      <w:t>7.1.5.1.2</w:t>
    </w:r>
  </w:p>
  <w:p w14:paraId="43D44D56" w14:textId="5C1B51E5" w:rsidR="00B62308" w:rsidRPr="00264773" w:rsidRDefault="006406F8" w:rsidP="0015360B">
    <w:pPr>
      <w:pStyle w:val="Header"/>
      <w:spacing w:after="0"/>
      <w:rPr>
        <w:snapToGrid w:val="0"/>
      </w:rPr>
    </w:pPr>
    <w:r>
      <w:t>1</w:t>
    </w:r>
    <w:r w:rsidR="00EA636C">
      <w:t>7</w:t>
    </w:r>
    <w:r w:rsidR="00B62308" w:rsidRPr="00264773">
      <w:rPr>
        <w:vertAlign w:val="superscript"/>
      </w:rPr>
      <w:t>th</w:t>
    </w:r>
    <w:r w:rsidR="00B62308" w:rsidRPr="00264773">
      <w:t xml:space="preserve">– </w:t>
    </w:r>
    <w:r w:rsidR="00B62308">
      <w:t>2</w:t>
    </w:r>
    <w:r>
      <w:t>1</w:t>
    </w:r>
    <w:r w:rsidRPr="006406F8">
      <w:rPr>
        <w:vertAlign w:val="superscript"/>
      </w:rPr>
      <w:t>st</w:t>
    </w:r>
    <w:r>
      <w:t xml:space="preserve"> November</w:t>
    </w:r>
    <w:r w:rsidR="00B62308" w:rsidRPr="00264773">
      <w:t xml:space="preserve">, </w:t>
    </w:r>
    <w:r w:rsidR="00B62308">
      <w:t>2014</w:t>
    </w:r>
    <w:r w:rsidR="00B62308" w:rsidRPr="00264773">
      <w:br/>
    </w:r>
    <w:bookmarkStart w:id="30" w:name="_Ref515183447"/>
    <w:bookmarkEnd w:id="30"/>
    <w:r w:rsidR="00B62308" w:rsidRPr="00264773">
      <w:t xml:space="preserve">Source: </w:t>
    </w:r>
    <w:r w:rsidR="00B62308">
      <w:t>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5303D54"/>
    <w:multiLevelType w:val="hybridMultilevel"/>
    <w:tmpl w:val="F1D4F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6B0329E"/>
    <w:multiLevelType w:val="hybridMultilevel"/>
    <w:tmpl w:val="295C19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4AAD131F"/>
    <w:multiLevelType w:val="multilevel"/>
    <w:tmpl w:val="458C937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03D2C82"/>
    <w:multiLevelType w:val="hybridMultilevel"/>
    <w:tmpl w:val="575847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7B7083E"/>
    <w:multiLevelType w:val="hybridMultilevel"/>
    <w:tmpl w:val="D946F0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BF41BC1"/>
    <w:multiLevelType w:val="hybridMultilevel"/>
    <w:tmpl w:val="043A8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2"/>
  </w:num>
  <w:num w:numId="7">
    <w:abstractNumId w:val="7"/>
  </w:num>
  <w:num w:numId="8">
    <w:abstractNumId w:val="11"/>
  </w:num>
  <w:num w:numId="9">
    <w:abstractNumId w:val="13"/>
  </w:num>
  <w:num w:numId="10">
    <w:abstractNumId w:val="16"/>
  </w:num>
  <w:num w:numId="11">
    <w:abstractNumId w:val="9"/>
  </w:num>
  <w:num w:numId="12">
    <w:abstractNumId w:val="8"/>
  </w:num>
  <w:num w:numId="13">
    <w:abstractNumId w:val="0"/>
  </w:num>
  <w:num w:numId="14">
    <w:abstractNumId w:val="17"/>
  </w:num>
  <w:num w:numId="15">
    <w:abstractNumId w:val="14"/>
  </w:num>
  <w:num w:numId="16">
    <w:abstractNumId w:val="10"/>
  </w:num>
  <w:num w:numId="17">
    <w:abstractNumId w:val="18"/>
  </w:num>
  <w:num w:numId="18">
    <w:abstractNumId w:val="6"/>
  </w:num>
  <w:num w:numId="19">
    <w:abstractNumId w:val="15"/>
  </w:num>
  <w:num w:numId="20">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40A6"/>
    <w:rsid w:val="00015C59"/>
    <w:rsid w:val="00015D3A"/>
    <w:rsid w:val="00016C26"/>
    <w:rsid w:val="000170F2"/>
    <w:rsid w:val="000203B4"/>
    <w:rsid w:val="00020593"/>
    <w:rsid w:val="00020EAD"/>
    <w:rsid w:val="00020FC2"/>
    <w:rsid w:val="000217A5"/>
    <w:rsid w:val="00021948"/>
    <w:rsid w:val="000223F4"/>
    <w:rsid w:val="00023CB2"/>
    <w:rsid w:val="00023F23"/>
    <w:rsid w:val="0002404E"/>
    <w:rsid w:val="00024330"/>
    <w:rsid w:val="00024D19"/>
    <w:rsid w:val="00025AA8"/>
    <w:rsid w:val="00026F40"/>
    <w:rsid w:val="0002751E"/>
    <w:rsid w:val="0002766F"/>
    <w:rsid w:val="00032747"/>
    <w:rsid w:val="00036EE4"/>
    <w:rsid w:val="00036FBD"/>
    <w:rsid w:val="0004018C"/>
    <w:rsid w:val="0004021D"/>
    <w:rsid w:val="000432B9"/>
    <w:rsid w:val="000440F8"/>
    <w:rsid w:val="000476F1"/>
    <w:rsid w:val="00051509"/>
    <w:rsid w:val="0005267D"/>
    <w:rsid w:val="000533C7"/>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4479"/>
    <w:rsid w:val="00077E6D"/>
    <w:rsid w:val="0008045A"/>
    <w:rsid w:val="00081D0E"/>
    <w:rsid w:val="00082CF2"/>
    <w:rsid w:val="00084917"/>
    <w:rsid w:val="00085559"/>
    <w:rsid w:val="00085B0D"/>
    <w:rsid w:val="00085F02"/>
    <w:rsid w:val="0008658A"/>
    <w:rsid w:val="000865DB"/>
    <w:rsid w:val="00087BE7"/>
    <w:rsid w:val="00090398"/>
    <w:rsid w:val="00091E68"/>
    <w:rsid w:val="0009208C"/>
    <w:rsid w:val="00094308"/>
    <w:rsid w:val="000976AC"/>
    <w:rsid w:val="000A107F"/>
    <w:rsid w:val="000A2AF0"/>
    <w:rsid w:val="000A4168"/>
    <w:rsid w:val="000A614E"/>
    <w:rsid w:val="000A764B"/>
    <w:rsid w:val="000A7BFE"/>
    <w:rsid w:val="000B0822"/>
    <w:rsid w:val="000B0D3D"/>
    <w:rsid w:val="000B318D"/>
    <w:rsid w:val="000B39FB"/>
    <w:rsid w:val="000B3D19"/>
    <w:rsid w:val="000B480F"/>
    <w:rsid w:val="000B4A93"/>
    <w:rsid w:val="000B4CA8"/>
    <w:rsid w:val="000B5C2E"/>
    <w:rsid w:val="000B60B6"/>
    <w:rsid w:val="000B62EB"/>
    <w:rsid w:val="000B74A0"/>
    <w:rsid w:val="000C01CF"/>
    <w:rsid w:val="000C0EF3"/>
    <w:rsid w:val="000C246D"/>
    <w:rsid w:val="000C53C6"/>
    <w:rsid w:val="000C68E2"/>
    <w:rsid w:val="000C6B47"/>
    <w:rsid w:val="000C724E"/>
    <w:rsid w:val="000C7E27"/>
    <w:rsid w:val="000D04AC"/>
    <w:rsid w:val="000D0A0B"/>
    <w:rsid w:val="000D0EAC"/>
    <w:rsid w:val="000D42AC"/>
    <w:rsid w:val="000D42BD"/>
    <w:rsid w:val="000D4591"/>
    <w:rsid w:val="000D56D0"/>
    <w:rsid w:val="000D5EF9"/>
    <w:rsid w:val="000D5F36"/>
    <w:rsid w:val="000D63EA"/>
    <w:rsid w:val="000D68A1"/>
    <w:rsid w:val="000D6A70"/>
    <w:rsid w:val="000D7C96"/>
    <w:rsid w:val="000D7EFF"/>
    <w:rsid w:val="000E0287"/>
    <w:rsid w:val="000E20BC"/>
    <w:rsid w:val="000E4DE7"/>
    <w:rsid w:val="000E52B9"/>
    <w:rsid w:val="000E6221"/>
    <w:rsid w:val="000E7150"/>
    <w:rsid w:val="000E7410"/>
    <w:rsid w:val="000E7B3A"/>
    <w:rsid w:val="000F28EE"/>
    <w:rsid w:val="000F4D16"/>
    <w:rsid w:val="000F539D"/>
    <w:rsid w:val="000F56BC"/>
    <w:rsid w:val="000F57C1"/>
    <w:rsid w:val="000F788A"/>
    <w:rsid w:val="00100EDF"/>
    <w:rsid w:val="00101EDB"/>
    <w:rsid w:val="0010266B"/>
    <w:rsid w:val="00102A08"/>
    <w:rsid w:val="001038AA"/>
    <w:rsid w:val="001043EF"/>
    <w:rsid w:val="0010477A"/>
    <w:rsid w:val="00104E41"/>
    <w:rsid w:val="00105050"/>
    <w:rsid w:val="00105E9B"/>
    <w:rsid w:val="00106E10"/>
    <w:rsid w:val="001116D8"/>
    <w:rsid w:val="00111AD5"/>
    <w:rsid w:val="00111E87"/>
    <w:rsid w:val="001132C2"/>
    <w:rsid w:val="001145B1"/>
    <w:rsid w:val="001158B9"/>
    <w:rsid w:val="0011683C"/>
    <w:rsid w:val="001223FB"/>
    <w:rsid w:val="00123AD8"/>
    <w:rsid w:val="00124848"/>
    <w:rsid w:val="00125E86"/>
    <w:rsid w:val="00125F33"/>
    <w:rsid w:val="001262D1"/>
    <w:rsid w:val="00126D32"/>
    <w:rsid w:val="0012713B"/>
    <w:rsid w:val="00127227"/>
    <w:rsid w:val="00130242"/>
    <w:rsid w:val="00131C59"/>
    <w:rsid w:val="00131FD3"/>
    <w:rsid w:val="00132466"/>
    <w:rsid w:val="00132DB7"/>
    <w:rsid w:val="00133023"/>
    <w:rsid w:val="001368AE"/>
    <w:rsid w:val="00140B83"/>
    <w:rsid w:val="00143205"/>
    <w:rsid w:val="00144049"/>
    <w:rsid w:val="001449B8"/>
    <w:rsid w:val="00145990"/>
    <w:rsid w:val="00146503"/>
    <w:rsid w:val="00146961"/>
    <w:rsid w:val="001474F8"/>
    <w:rsid w:val="00147B66"/>
    <w:rsid w:val="00150483"/>
    <w:rsid w:val="00150DB2"/>
    <w:rsid w:val="001519E1"/>
    <w:rsid w:val="00152BC4"/>
    <w:rsid w:val="0015360B"/>
    <w:rsid w:val="001547D7"/>
    <w:rsid w:val="00154A3E"/>
    <w:rsid w:val="00155385"/>
    <w:rsid w:val="00155CA1"/>
    <w:rsid w:val="001561D6"/>
    <w:rsid w:val="00157ED0"/>
    <w:rsid w:val="00157F3D"/>
    <w:rsid w:val="00161CB7"/>
    <w:rsid w:val="00162633"/>
    <w:rsid w:val="00163CAC"/>
    <w:rsid w:val="00163E27"/>
    <w:rsid w:val="001648B6"/>
    <w:rsid w:val="00164B61"/>
    <w:rsid w:val="00164E81"/>
    <w:rsid w:val="00164FE3"/>
    <w:rsid w:val="001650C3"/>
    <w:rsid w:val="001716BD"/>
    <w:rsid w:val="0017195E"/>
    <w:rsid w:val="00171E47"/>
    <w:rsid w:val="00172562"/>
    <w:rsid w:val="00173B04"/>
    <w:rsid w:val="00173BF5"/>
    <w:rsid w:val="00174A53"/>
    <w:rsid w:val="00175A90"/>
    <w:rsid w:val="00176DD7"/>
    <w:rsid w:val="00177B39"/>
    <w:rsid w:val="00181434"/>
    <w:rsid w:val="00181DA2"/>
    <w:rsid w:val="00182714"/>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31E6"/>
    <w:rsid w:val="001A68ED"/>
    <w:rsid w:val="001A74BA"/>
    <w:rsid w:val="001B033B"/>
    <w:rsid w:val="001B11C2"/>
    <w:rsid w:val="001B1402"/>
    <w:rsid w:val="001B17B1"/>
    <w:rsid w:val="001B1A12"/>
    <w:rsid w:val="001B280A"/>
    <w:rsid w:val="001B3B92"/>
    <w:rsid w:val="001B4E2B"/>
    <w:rsid w:val="001B68ED"/>
    <w:rsid w:val="001C03F9"/>
    <w:rsid w:val="001C0F49"/>
    <w:rsid w:val="001C2F0C"/>
    <w:rsid w:val="001C34D8"/>
    <w:rsid w:val="001C4591"/>
    <w:rsid w:val="001C4C18"/>
    <w:rsid w:val="001C51B3"/>
    <w:rsid w:val="001C76E9"/>
    <w:rsid w:val="001D01D4"/>
    <w:rsid w:val="001D03CF"/>
    <w:rsid w:val="001D0409"/>
    <w:rsid w:val="001D0A5B"/>
    <w:rsid w:val="001D18E1"/>
    <w:rsid w:val="001D1BBC"/>
    <w:rsid w:val="001D26AD"/>
    <w:rsid w:val="001D38B9"/>
    <w:rsid w:val="001D395A"/>
    <w:rsid w:val="001D43B5"/>
    <w:rsid w:val="001D49CD"/>
    <w:rsid w:val="001D6932"/>
    <w:rsid w:val="001D6B9A"/>
    <w:rsid w:val="001D7CFD"/>
    <w:rsid w:val="001E0C62"/>
    <w:rsid w:val="001E1017"/>
    <w:rsid w:val="001E1D0F"/>
    <w:rsid w:val="001E3248"/>
    <w:rsid w:val="001E4193"/>
    <w:rsid w:val="001E50C4"/>
    <w:rsid w:val="001E5F92"/>
    <w:rsid w:val="001E62FE"/>
    <w:rsid w:val="001E6D38"/>
    <w:rsid w:val="001F00FD"/>
    <w:rsid w:val="001F1199"/>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299E"/>
    <w:rsid w:val="002039AF"/>
    <w:rsid w:val="00205DC6"/>
    <w:rsid w:val="00205FC8"/>
    <w:rsid w:val="002062FE"/>
    <w:rsid w:val="0020665C"/>
    <w:rsid w:val="00206B48"/>
    <w:rsid w:val="0020716D"/>
    <w:rsid w:val="002074A7"/>
    <w:rsid w:val="00211DCC"/>
    <w:rsid w:val="00212200"/>
    <w:rsid w:val="00214891"/>
    <w:rsid w:val="00216337"/>
    <w:rsid w:val="00216391"/>
    <w:rsid w:val="002163DA"/>
    <w:rsid w:val="002175C4"/>
    <w:rsid w:val="00217C4A"/>
    <w:rsid w:val="00220D2A"/>
    <w:rsid w:val="00223B6C"/>
    <w:rsid w:val="00223BEE"/>
    <w:rsid w:val="00223DD7"/>
    <w:rsid w:val="0022497A"/>
    <w:rsid w:val="00225DB2"/>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7F04"/>
    <w:rsid w:val="00250390"/>
    <w:rsid w:val="0025122D"/>
    <w:rsid w:val="00251C4C"/>
    <w:rsid w:val="00252044"/>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5A0A"/>
    <w:rsid w:val="00276C25"/>
    <w:rsid w:val="0027726F"/>
    <w:rsid w:val="00280D07"/>
    <w:rsid w:val="00282F72"/>
    <w:rsid w:val="00283416"/>
    <w:rsid w:val="0028477C"/>
    <w:rsid w:val="00284C25"/>
    <w:rsid w:val="002856B7"/>
    <w:rsid w:val="00285F61"/>
    <w:rsid w:val="00285F94"/>
    <w:rsid w:val="002860CF"/>
    <w:rsid w:val="0028621E"/>
    <w:rsid w:val="002915CC"/>
    <w:rsid w:val="002923B3"/>
    <w:rsid w:val="002926DA"/>
    <w:rsid w:val="002937E7"/>
    <w:rsid w:val="00293EA6"/>
    <w:rsid w:val="00294DF7"/>
    <w:rsid w:val="00294EB5"/>
    <w:rsid w:val="002958D5"/>
    <w:rsid w:val="002967C3"/>
    <w:rsid w:val="00296A52"/>
    <w:rsid w:val="00296BAE"/>
    <w:rsid w:val="00296C13"/>
    <w:rsid w:val="00297B7A"/>
    <w:rsid w:val="002A00C8"/>
    <w:rsid w:val="002A1B11"/>
    <w:rsid w:val="002A21A2"/>
    <w:rsid w:val="002A235E"/>
    <w:rsid w:val="002A2719"/>
    <w:rsid w:val="002A2D05"/>
    <w:rsid w:val="002A428F"/>
    <w:rsid w:val="002A7BC0"/>
    <w:rsid w:val="002B111F"/>
    <w:rsid w:val="002B1B4D"/>
    <w:rsid w:val="002B20B6"/>
    <w:rsid w:val="002B2339"/>
    <w:rsid w:val="002B341F"/>
    <w:rsid w:val="002B6A64"/>
    <w:rsid w:val="002B7360"/>
    <w:rsid w:val="002B7881"/>
    <w:rsid w:val="002C0170"/>
    <w:rsid w:val="002C0369"/>
    <w:rsid w:val="002C168B"/>
    <w:rsid w:val="002C20B2"/>
    <w:rsid w:val="002C3AC9"/>
    <w:rsid w:val="002C3E7B"/>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0B76"/>
    <w:rsid w:val="003119CA"/>
    <w:rsid w:val="00312FC6"/>
    <w:rsid w:val="003134BB"/>
    <w:rsid w:val="00313A9F"/>
    <w:rsid w:val="00314275"/>
    <w:rsid w:val="00315D93"/>
    <w:rsid w:val="003161BB"/>
    <w:rsid w:val="003232C4"/>
    <w:rsid w:val="00326141"/>
    <w:rsid w:val="00326F52"/>
    <w:rsid w:val="00327449"/>
    <w:rsid w:val="003278F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68BC"/>
    <w:rsid w:val="00346C12"/>
    <w:rsid w:val="003475F1"/>
    <w:rsid w:val="003500A7"/>
    <w:rsid w:val="00350F75"/>
    <w:rsid w:val="00351194"/>
    <w:rsid w:val="00351BAD"/>
    <w:rsid w:val="00353745"/>
    <w:rsid w:val="003549E9"/>
    <w:rsid w:val="0035554D"/>
    <w:rsid w:val="00356ED2"/>
    <w:rsid w:val="0036011B"/>
    <w:rsid w:val="00360675"/>
    <w:rsid w:val="00360C7D"/>
    <w:rsid w:val="00360E32"/>
    <w:rsid w:val="0036197A"/>
    <w:rsid w:val="00362116"/>
    <w:rsid w:val="00362C4C"/>
    <w:rsid w:val="00364223"/>
    <w:rsid w:val="00366419"/>
    <w:rsid w:val="00366A97"/>
    <w:rsid w:val="00366AC3"/>
    <w:rsid w:val="00366FA2"/>
    <w:rsid w:val="003670BA"/>
    <w:rsid w:val="003671EA"/>
    <w:rsid w:val="0037008F"/>
    <w:rsid w:val="00370203"/>
    <w:rsid w:val="00370AA6"/>
    <w:rsid w:val="00371E9D"/>
    <w:rsid w:val="003725DB"/>
    <w:rsid w:val="0037329F"/>
    <w:rsid w:val="003737FF"/>
    <w:rsid w:val="00373F48"/>
    <w:rsid w:val="0037417F"/>
    <w:rsid w:val="003745BC"/>
    <w:rsid w:val="0037532B"/>
    <w:rsid w:val="00377052"/>
    <w:rsid w:val="003772EB"/>
    <w:rsid w:val="00380010"/>
    <w:rsid w:val="003804A3"/>
    <w:rsid w:val="00380721"/>
    <w:rsid w:val="00380982"/>
    <w:rsid w:val="003816F1"/>
    <w:rsid w:val="003837F9"/>
    <w:rsid w:val="003838D9"/>
    <w:rsid w:val="0038409C"/>
    <w:rsid w:val="00384A55"/>
    <w:rsid w:val="003864C5"/>
    <w:rsid w:val="003868E6"/>
    <w:rsid w:val="00387141"/>
    <w:rsid w:val="003875C5"/>
    <w:rsid w:val="00387DE3"/>
    <w:rsid w:val="00387F66"/>
    <w:rsid w:val="00390603"/>
    <w:rsid w:val="003930C9"/>
    <w:rsid w:val="003947B3"/>
    <w:rsid w:val="00395294"/>
    <w:rsid w:val="003966BD"/>
    <w:rsid w:val="003967AD"/>
    <w:rsid w:val="00396F63"/>
    <w:rsid w:val="003972A0"/>
    <w:rsid w:val="00397823"/>
    <w:rsid w:val="00397C15"/>
    <w:rsid w:val="003A027F"/>
    <w:rsid w:val="003A0626"/>
    <w:rsid w:val="003A07D5"/>
    <w:rsid w:val="003A26EA"/>
    <w:rsid w:val="003A2B68"/>
    <w:rsid w:val="003A369D"/>
    <w:rsid w:val="003A3E09"/>
    <w:rsid w:val="003A4956"/>
    <w:rsid w:val="003A50A4"/>
    <w:rsid w:val="003A6FAE"/>
    <w:rsid w:val="003B005C"/>
    <w:rsid w:val="003B0263"/>
    <w:rsid w:val="003B0C4D"/>
    <w:rsid w:val="003B1908"/>
    <w:rsid w:val="003B22C5"/>
    <w:rsid w:val="003B2F9E"/>
    <w:rsid w:val="003B3FAA"/>
    <w:rsid w:val="003B4192"/>
    <w:rsid w:val="003B5A41"/>
    <w:rsid w:val="003C0CB1"/>
    <w:rsid w:val="003C184B"/>
    <w:rsid w:val="003C1B66"/>
    <w:rsid w:val="003C3651"/>
    <w:rsid w:val="003C4258"/>
    <w:rsid w:val="003C458B"/>
    <w:rsid w:val="003C4B82"/>
    <w:rsid w:val="003C533F"/>
    <w:rsid w:val="003C56F6"/>
    <w:rsid w:val="003D00E2"/>
    <w:rsid w:val="003D0379"/>
    <w:rsid w:val="003D3255"/>
    <w:rsid w:val="003D3708"/>
    <w:rsid w:val="003D39F6"/>
    <w:rsid w:val="003D50DE"/>
    <w:rsid w:val="003D5365"/>
    <w:rsid w:val="003D5851"/>
    <w:rsid w:val="003D6049"/>
    <w:rsid w:val="003D65CC"/>
    <w:rsid w:val="003E0239"/>
    <w:rsid w:val="003E13BA"/>
    <w:rsid w:val="003E1AF7"/>
    <w:rsid w:val="003E2CE0"/>
    <w:rsid w:val="003E5917"/>
    <w:rsid w:val="003E6521"/>
    <w:rsid w:val="003E660C"/>
    <w:rsid w:val="003E730A"/>
    <w:rsid w:val="003F08A4"/>
    <w:rsid w:val="003F0E0F"/>
    <w:rsid w:val="003F10F2"/>
    <w:rsid w:val="003F32B0"/>
    <w:rsid w:val="003F3F4C"/>
    <w:rsid w:val="003F655D"/>
    <w:rsid w:val="00400BC0"/>
    <w:rsid w:val="00401B4C"/>
    <w:rsid w:val="00402ED5"/>
    <w:rsid w:val="004038C3"/>
    <w:rsid w:val="00403A4E"/>
    <w:rsid w:val="00405C5B"/>
    <w:rsid w:val="00406BBF"/>
    <w:rsid w:val="00410FA3"/>
    <w:rsid w:val="0041212A"/>
    <w:rsid w:val="00412C79"/>
    <w:rsid w:val="00412E28"/>
    <w:rsid w:val="004131DC"/>
    <w:rsid w:val="00413D3D"/>
    <w:rsid w:val="00414A95"/>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2A46"/>
    <w:rsid w:val="00433BB1"/>
    <w:rsid w:val="00433C5D"/>
    <w:rsid w:val="00434F66"/>
    <w:rsid w:val="004362AD"/>
    <w:rsid w:val="00436C08"/>
    <w:rsid w:val="00440418"/>
    <w:rsid w:val="004413F7"/>
    <w:rsid w:val="00441BC0"/>
    <w:rsid w:val="00442EFA"/>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5687"/>
    <w:rsid w:val="00456014"/>
    <w:rsid w:val="004563F7"/>
    <w:rsid w:val="004600B0"/>
    <w:rsid w:val="0046074E"/>
    <w:rsid w:val="00462CD5"/>
    <w:rsid w:val="0046391F"/>
    <w:rsid w:val="00463C22"/>
    <w:rsid w:val="00464B47"/>
    <w:rsid w:val="00465EC1"/>
    <w:rsid w:val="00466E53"/>
    <w:rsid w:val="00470004"/>
    <w:rsid w:val="004709FB"/>
    <w:rsid w:val="00471C65"/>
    <w:rsid w:val="00472DBB"/>
    <w:rsid w:val="00472E97"/>
    <w:rsid w:val="00473A6E"/>
    <w:rsid w:val="00474DAD"/>
    <w:rsid w:val="004756BB"/>
    <w:rsid w:val="00477BC7"/>
    <w:rsid w:val="00477E7F"/>
    <w:rsid w:val="00477F1D"/>
    <w:rsid w:val="004807A0"/>
    <w:rsid w:val="00480A76"/>
    <w:rsid w:val="00481291"/>
    <w:rsid w:val="004819BD"/>
    <w:rsid w:val="00482735"/>
    <w:rsid w:val="00483D93"/>
    <w:rsid w:val="00485718"/>
    <w:rsid w:val="00485FB5"/>
    <w:rsid w:val="004876C1"/>
    <w:rsid w:val="00490A59"/>
    <w:rsid w:val="00490C01"/>
    <w:rsid w:val="0049190D"/>
    <w:rsid w:val="00493201"/>
    <w:rsid w:val="00493B8E"/>
    <w:rsid w:val="00493D9F"/>
    <w:rsid w:val="00493E26"/>
    <w:rsid w:val="00496582"/>
    <w:rsid w:val="0049716D"/>
    <w:rsid w:val="00497742"/>
    <w:rsid w:val="004A02F8"/>
    <w:rsid w:val="004A0625"/>
    <w:rsid w:val="004A1024"/>
    <w:rsid w:val="004A33A4"/>
    <w:rsid w:val="004A53E3"/>
    <w:rsid w:val="004A58A2"/>
    <w:rsid w:val="004A60E2"/>
    <w:rsid w:val="004A69C8"/>
    <w:rsid w:val="004A7004"/>
    <w:rsid w:val="004B0E35"/>
    <w:rsid w:val="004B1554"/>
    <w:rsid w:val="004B164D"/>
    <w:rsid w:val="004B37E8"/>
    <w:rsid w:val="004B3F1A"/>
    <w:rsid w:val="004B4802"/>
    <w:rsid w:val="004B560E"/>
    <w:rsid w:val="004B6C8B"/>
    <w:rsid w:val="004B7181"/>
    <w:rsid w:val="004C38D3"/>
    <w:rsid w:val="004C4B4D"/>
    <w:rsid w:val="004C4F3C"/>
    <w:rsid w:val="004C5413"/>
    <w:rsid w:val="004C7679"/>
    <w:rsid w:val="004C7D78"/>
    <w:rsid w:val="004D04B3"/>
    <w:rsid w:val="004D25AA"/>
    <w:rsid w:val="004D2E22"/>
    <w:rsid w:val="004D384B"/>
    <w:rsid w:val="004D3A07"/>
    <w:rsid w:val="004D3D26"/>
    <w:rsid w:val="004D429D"/>
    <w:rsid w:val="004D4D5C"/>
    <w:rsid w:val="004D4F55"/>
    <w:rsid w:val="004D5C36"/>
    <w:rsid w:val="004D776E"/>
    <w:rsid w:val="004E024E"/>
    <w:rsid w:val="004E162F"/>
    <w:rsid w:val="004E1B1F"/>
    <w:rsid w:val="004E1B33"/>
    <w:rsid w:val="004E1E0A"/>
    <w:rsid w:val="004E3C72"/>
    <w:rsid w:val="004E3F9D"/>
    <w:rsid w:val="004E524A"/>
    <w:rsid w:val="004E55E7"/>
    <w:rsid w:val="004F09C5"/>
    <w:rsid w:val="004F0A4F"/>
    <w:rsid w:val="004F0E48"/>
    <w:rsid w:val="004F212B"/>
    <w:rsid w:val="004F337C"/>
    <w:rsid w:val="004F483D"/>
    <w:rsid w:val="004F4DAD"/>
    <w:rsid w:val="004F57CD"/>
    <w:rsid w:val="004F6AF6"/>
    <w:rsid w:val="004F7AB7"/>
    <w:rsid w:val="00500387"/>
    <w:rsid w:val="0050149B"/>
    <w:rsid w:val="00503041"/>
    <w:rsid w:val="00503E22"/>
    <w:rsid w:val="00504DA0"/>
    <w:rsid w:val="005057E5"/>
    <w:rsid w:val="00505E76"/>
    <w:rsid w:val="00507936"/>
    <w:rsid w:val="00512D68"/>
    <w:rsid w:val="0051442B"/>
    <w:rsid w:val="00514990"/>
    <w:rsid w:val="005150AE"/>
    <w:rsid w:val="00515139"/>
    <w:rsid w:val="005159BF"/>
    <w:rsid w:val="00515EF6"/>
    <w:rsid w:val="00516C54"/>
    <w:rsid w:val="00517EE8"/>
    <w:rsid w:val="00522448"/>
    <w:rsid w:val="0052248A"/>
    <w:rsid w:val="00522749"/>
    <w:rsid w:val="00522F17"/>
    <w:rsid w:val="00523011"/>
    <w:rsid w:val="005234C8"/>
    <w:rsid w:val="005236E6"/>
    <w:rsid w:val="00523AEF"/>
    <w:rsid w:val="00525053"/>
    <w:rsid w:val="00525A1A"/>
    <w:rsid w:val="00526421"/>
    <w:rsid w:val="005275BF"/>
    <w:rsid w:val="00527842"/>
    <w:rsid w:val="00527ECA"/>
    <w:rsid w:val="00530AA1"/>
    <w:rsid w:val="00532F08"/>
    <w:rsid w:val="00533CB5"/>
    <w:rsid w:val="00534785"/>
    <w:rsid w:val="00536ECE"/>
    <w:rsid w:val="005376B5"/>
    <w:rsid w:val="005379D0"/>
    <w:rsid w:val="00537C09"/>
    <w:rsid w:val="00540BF3"/>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5720C"/>
    <w:rsid w:val="005578C0"/>
    <w:rsid w:val="0056018D"/>
    <w:rsid w:val="00560496"/>
    <w:rsid w:val="00561CD5"/>
    <w:rsid w:val="0056381C"/>
    <w:rsid w:val="0056398F"/>
    <w:rsid w:val="00564D8B"/>
    <w:rsid w:val="0056638F"/>
    <w:rsid w:val="0057183F"/>
    <w:rsid w:val="00572115"/>
    <w:rsid w:val="005722D3"/>
    <w:rsid w:val="00572484"/>
    <w:rsid w:val="00572FE4"/>
    <w:rsid w:val="00574A7E"/>
    <w:rsid w:val="00575026"/>
    <w:rsid w:val="005761DC"/>
    <w:rsid w:val="00577B77"/>
    <w:rsid w:val="00581571"/>
    <w:rsid w:val="00581CB5"/>
    <w:rsid w:val="00581F2F"/>
    <w:rsid w:val="0058382C"/>
    <w:rsid w:val="00585357"/>
    <w:rsid w:val="00585AAA"/>
    <w:rsid w:val="00585BAB"/>
    <w:rsid w:val="00586422"/>
    <w:rsid w:val="0058663D"/>
    <w:rsid w:val="00587112"/>
    <w:rsid w:val="00591875"/>
    <w:rsid w:val="00592077"/>
    <w:rsid w:val="00592803"/>
    <w:rsid w:val="00592DC7"/>
    <w:rsid w:val="00593DAF"/>
    <w:rsid w:val="0059426A"/>
    <w:rsid w:val="00594461"/>
    <w:rsid w:val="0059469C"/>
    <w:rsid w:val="0059485D"/>
    <w:rsid w:val="00595BC9"/>
    <w:rsid w:val="00595C4E"/>
    <w:rsid w:val="005A01D5"/>
    <w:rsid w:val="005A0E38"/>
    <w:rsid w:val="005A118E"/>
    <w:rsid w:val="005A17D3"/>
    <w:rsid w:val="005A2644"/>
    <w:rsid w:val="005A3931"/>
    <w:rsid w:val="005A3F45"/>
    <w:rsid w:val="005A4027"/>
    <w:rsid w:val="005A5955"/>
    <w:rsid w:val="005A5A07"/>
    <w:rsid w:val="005A747E"/>
    <w:rsid w:val="005B0051"/>
    <w:rsid w:val="005B0E93"/>
    <w:rsid w:val="005B27E9"/>
    <w:rsid w:val="005B3524"/>
    <w:rsid w:val="005B4AEE"/>
    <w:rsid w:val="005B4BC3"/>
    <w:rsid w:val="005B5F16"/>
    <w:rsid w:val="005B6770"/>
    <w:rsid w:val="005B70A3"/>
    <w:rsid w:val="005B78AA"/>
    <w:rsid w:val="005C1E89"/>
    <w:rsid w:val="005C3010"/>
    <w:rsid w:val="005C342C"/>
    <w:rsid w:val="005C4AAC"/>
    <w:rsid w:val="005C4E3C"/>
    <w:rsid w:val="005C4E98"/>
    <w:rsid w:val="005C5E7B"/>
    <w:rsid w:val="005C6D09"/>
    <w:rsid w:val="005C744B"/>
    <w:rsid w:val="005D0601"/>
    <w:rsid w:val="005D07E1"/>
    <w:rsid w:val="005D124B"/>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5F54AC"/>
    <w:rsid w:val="005F56E1"/>
    <w:rsid w:val="0060024B"/>
    <w:rsid w:val="00600715"/>
    <w:rsid w:val="00601C5D"/>
    <w:rsid w:val="00601E50"/>
    <w:rsid w:val="0060466E"/>
    <w:rsid w:val="006052FE"/>
    <w:rsid w:val="00605B74"/>
    <w:rsid w:val="0060708B"/>
    <w:rsid w:val="00607753"/>
    <w:rsid w:val="0061108A"/>
    <w:rsid w:val="006113FC"/>
    <w:rsid w:val="006119A3"/>
    <w:rsid w:val="00611B61"/>
    <w:rsid w:val="00612DC1"/>
    <w:rsid w:val="00613A10"/>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703B"/>
    <w:rsid w:val="0062715F"/>
    <w:rsid w:val="00631CB0"/>
    <w:rsid w:val="006320AD"/>
    <w:rsid w:val="00632172"/>
    <w:rsid w:val="006343EE"/>
    <w:rsid w:val="006355FD"/>
    <w:rsid w:val="00635D9D"/>
    <w:rsid w:val="00636A80"/>
    <w:rsid w:val="00636E56"/>
    <w:rsid w:val="00637637"/>
    <w:rsid w:val="00637FB5"/>
    <w:rsid w:val="0064024F"/>
    <w:rsid w:val="00640508"/>
    <w:rsid w:val="006406F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80A"/>
    <w:rsid w:val="00652E0D"/>
    <w:rsid w:val="00653594"/>
    <w:rsid w:val="006535FB"/>
    <w:rsid w:val="0065500D"/>
    <w:rsid w:val="00655838"/>
    <w:rsid w:val="00657091"/>
    <w:rsid w:val="006573AA"/>
    <w:rsid w:val="006620A5"/>
    <w:rsid w:val="00662462"/>
    <w:rsid w:val="00663EFE"/>
    <w:rsid w:val="00664B71"/>
    <w:rsid w:val="006653EB"/>
    <w:rsid w:val="0066745E"/>
    <w:rsid w:val="00670188"/>
    <w:rsid w:val="0067100F"/>
    <w:rsid w:val="00671CBC"/>
    <w:rsid w:val="00674101"/>
    <w:rsid w:val="00674774"/>
    <w:rsid w:val="00675358"/>
    <w:rsid w:val="0067611F"/>
    <w:rsid w:val="006770EC"/>
    <w:rsid w:val="00677CCA"/>
    <w:rsid w:val="006819AB"/>
    <w:rsid w:val="006819D1"/>
    <w:rsid w:val="0068322B"/>
    <w:rsid w:val="00683E81"/>
    <w:rsid w:val="0068430B"/>
    <w:rsid w:val="00685D10"/>
    <w:rsid w:val="00685F12"/>
    <w:rsid w:val="006868C6"/>
    <w:rsid w:val="00686E96"/>
    <w:rsid w:val="00686EA0"/>
    <w:rsid w:val="006875D6"/>
    <w:rsid w:val="00687AA2"/>
    <w:rsid w:val="00690F01"/>
    <w:rsid w:val="00691304"/>
    <w:rsid w:val="0069152B"/>
    <w:rsid w:val="0069194E"/>
    <w:rsid w:val="0069214C"/>
    <w:rsid w:val="00693F43"/>
    <w:rsid w:val="00696557"/>
    <w:rsid w:val="00697CD8"/>
    <w:rsid w:val="00697DA8"/>
    <w:rsid w:val="00697E51"/>
    <w:rsid w:val="006A0288"/>
    <w:rsid w:val="006A1644"/>
    <w:rsid w:val="006A1DCC"/>
    <w:rsid w:val="006A39B7"/>
    <w:rsid w:val="006A41A1"/>
    <w:rsid w:val="006A45A8"/>
    <w:rsid w:val="006A4ED3"/>
    <w:rsid w:val="006A525C"/>
    <w:rsid w:val="006A5617"/>
    <w:rsid w:val="006A5C33"/>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757"/>
    <w:rsid w:val="006C6A50"/>
    <w:rsid w:val="006C6D77"/>
    <w:rsid w:val="006C6DF8"/>
    <w:rsid w:val="006C77D6"/>
    <w:rsid w:val="006D1706"/>
    <w:rsid w:val="006D1F6C"/>
    <w:rsid w:val="006D2864"/>
    <w:rsid w:val="006D385B"/>
    <w:rsid w:val="006D3A09"/>
    <w:rsid w:val="006D4C49"/>
    <w:rsid w:val="006D4CCD"/>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15EB"/>
    <w:rsid w:val="006F2311"/>
    <w:rsid w:val="006F2647"/>
    <w:rsid w:val="006F2F8B"/>
    <w:rsid w:val="006F2FE2"/>
    <w:rsid w:val="006F327A"/>
    <w:rsid w:val="006F48EF"/>
    <w:rsid w:val="006F5417"/>
    <w:rsid w:val="006F5664"/>
    <w:rsid w:val="006F59CA"/>
    <w:rsid w:val="006F5DB2"/>
    <w:rsid w:val="006F677A"/>
    <w:rsid w:val="006F707B"/>
    <w:rsid w:val="006F738D"/>
    <w:rsid w:val="00700D79"/>
    <w:rsid w:val="00700FEA"/>
    <w:rsid w:val="00702364"/>
    <w:rsid w:val="007034E7"/>
    <w:rsid w:val="007038D6"/>
    <w:rsid w:val="007046E5"/>
    <w:rsid w:val="00705F62"/>
    <w:rsid w:val="00706478"/>
    <w:rsid w:val="00711FCB"/>
    <w:rsid w:val="00712315"/>
    <w:rsid w:val="00713126"/>
    <w:rsid w:val="00713FCD"/>
    <w:rsid w:val="0071425B"/>
    <w:rsid w:val="007147A7"/>
    <w:rsid w:val="00714CC0"/>
    <w:rsid w:val="00714EF4"/>
    <w:rsid w:val="00715CE3"/>
    <w:rsid w:val="00717A09"/>
    <w:rsid w:val="007219B5"/>
    <w:rsid w:val="007221BC"/>
    <w:rsid w:val="00722559"/>
    <w:rsid w:val="00723631"/>
    <w:rsid w:val="00725E23"/>
    <w:rsid w:val="00725F43"/>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41730"/>
    <w:rsid w:val="00742833"/>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390"/>
    <w:rsid w:val="007576C5"/>
    <w:rsid w:val="00757743"/>
    <w:rsid w:val="007577A7"/>
    <w:rsid w:val="00757952"/>
    <w:rsid w:val="007606C3"/>
    <w:rsid w:val="00762031"/>
    <w:rsid w:val="007634E2"/>
    <w:rsid w:val="0076360F"/>
    <w:rsid w:val="00764924"/>
    <w:rsid w:val="00765780"/>
    <w:rsid w:val="00765D72"/>
    <w:rsid w:val="00765DD5"/>
    <w:rsid w:val="00767A52"/>
    <w:rsid w:val="0077028C"/>
    <w:rsid w:val="00770931"/>
    <w:rsid w:val="0077152B"/>
    <w:rsid w:val="007715BB"/>
    <w:rsid w:val="007721EA"/>
    <w:rsid w:val="00774BB1"/>
    <w:rsid w:val="00775A98"/>
    <w:rsid w:val="00775B32"/>
    <w:rsid w:val="00777F34"/>
    <w:rsid w:val="00782A3A"/>
    <w:rsid w:val="00783C9B"/>
    <w:rsid w:val="00784A73"/>
    <w:rsid w:val="00785159"/>
    <w:rsid w:val="00786321"/>
    <w:rsid w:val="00787B18"/>
    <w:rsid w:val="0079049B"/>
    <w:rsid w:val="007908BC"/>
    <w:rsid w:val="0079168B"/>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6D60"/>
    <w:rsid w:val="007A732B"/>
    <w:rsid w:val="007A7AF1"/>
    <w:rsid w:val="007B12FE"/>
    <w:rsid w:val="007B1D4B"/>
    <w:rsid w:val="007B2173"/>
    <w:rsid w:val="007B2726"/>
    <w:rsid w:val="007B2732"/>
    <w:rsid w:val="007B4955"/>
    <w:rsid w:val="007B5EFA"/>
    <w:rsid w:val="007B6285"/>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1C9F"/>
    <w:rsid w:val="007E332E"/>
    <w:rsid w:val="007E39A9"/>
    <w:rsid w:val="007E5E3B"/>
    <w:rsid w:val="007E6FCE"/>
    <w:rsid w:val="007E766C"/>
    <w:rsid w:val="007F0EBB"/>
    <w:rsid w:val="007F143B"/>
    <w:rsid w:val="007F15B6"/>
    <w:rsid w:val="007F1830"/>
    <w:rsid w:val="007F26EA"/>
    <w:rsid w:val="007F43C7"/>
    <w:rsid w:val="007F595F"/>
    <w:rsid w:val="007F77EF"/>
    <w:rsid w:val="007F7F98"/>
    <w:rsid w:val="008008D2"/>
    <w:rsid w:val="00801024"/>
    <w:rsid w:val="008016CB"/>
    <w:rsid w:val="00802DB4"/>
    <w:rsid w:val="00802F02"/>
    <w:rsid w:val="00803563"/>
    <w:rsid w:val="00804B14"/>
    <w:rsid w:val="008067A4"/>
    <w:rsid w:val="00807E01"/>
    <w:rsid w:val="00810218"/>
    <w:rsid w:val="008103C7"/>
    <w:rsid w:val="008110BE"/>
    <w:rsid w:val="00811D18"/>
    <w:rsid w:val="008125D6"/>
    <w:rsid w:val="008128BE"/>
    <w:rsid w:val="00812A88"/>
    <w:rsid w:val="00814970"/>
    <w:rsid w:val="0081517C"/>
    <w:rsid w:val="008152F1"/>
    <w:rsid w:val="0081597F"/>
    <w:rsid w:val="00815A45"/>
    <w:rsid w:val="008165F5"/>
    <w:rsid w:val="008168E3"/>
    <w:rsid w:val="00816EBF"/>
    <w:rsid w:val="0081740F"/>
    <w:rsid w:val="00820F4F"/>
    <w:rsid w:val="008210B9"/>
    <w:rsid w:val="0082192F"/>
    <w:rsid w:val="00822865"/>
    <w:rsid w:val="008230E9"/>
    <w:rsid w:val="00824F35"/>
    <w:rsid w:val="008252FD"/>
    <w:rsid w:val="0082596E"/>
    <w:rsid w:val="008259A4"/>
    <w:rsid w:val="00827C83"/>
    <w:rsid w:val="00827FE6"/>
    <w:rsid w:val="0083266C"/>
    <w:rsid w:val="00835402"/>
    <w:rsid w:val="00835451"/>
    <w:rsid w:val="008355CB"/>
    <w:rsid w:val="008359F7"/>
    <w:rsid w:val="00836AA2"/>
    <w:rsid w:val="00836CB0"/>
    <w:rsid w:val="00836DD3"/>
    <w:rsid w:val="0083714F"/>
    <w:rsid w:val="00840C09"/>
    <w:rsid w:val="00841790"/>
    <w:rsid w:val="008419F5"/>
    <w:rsid w:val="00842214"/>
    <w:rsid w:val="0084589B"/>
    <w:rsid w:val="008464CC"/>
    <w:rsid w:val="0084767C"/>
    <w:rsid w:val="00847B4E"/>
    <w:rsid w:val="00847BFD"/>
    <w:rsid w:val="00852183"/>
    <w:rsid w:val="00852E0E"/>
    <w:rsid w:val="00853A92"/>
    <w:rsid w:val="00854276"/>
    <w:rsid w:val="008542CC"/>
    <w:rsid w:val="00854E92"/>
    <w:rsid w:val="0085578E"/>
    <w:rsid w:val="00855925"/>
    <w:rsid w:val="00855DBA"/>
    <w:rsid w:val="00856EE4"/>
    <w:rsid w:val="008572C6"/>
    <w:rsid w:val="00857FE8"/>
    <w:rsid w:val="00861571"/>
    <w:rsid w:val="00861B1D"/>
    <w:rsid w:val="00861D56"/>
    <w:rsid w:val="008673E6"/>
    <w:rsid w:val="0087066E"/>
    <w:rsid w:val="00871018"/>
    <w:rsid w:val="008716E7"/>
    <w:rsid w:val="00871C41"/>
    <w:rsid w:val="00872D05"/>
    <w:rsid w:val="008734E2"/>
    <w:rsid w:val="00873C95"/>
    <w:rsid w:val="00874384"/>
    <w:rsid w:val="0087552D"/>
    <w:rsid w:val="00876A81"/>
    <w:rsid w:val="00880188"/>
    <w:rsid w:val="0088144E"/>
    <w:rsid w:val="008815D5"/>
    <w:rsid w:val="0088226C"/>
    <w:rsid w:val="00882F60"/>
    <w:rsid w:val="00883E2E"/>
    <w:rsid w:val="00884FCD"/>
    <w:rsid w:val="008854EF"/>
    <w:rsid w:val="00886750"/>
    <w:rsid w:val="00887089"/>
    <w:rsid w:val="00890121"/>
    <w:rsid w:val="00890492"/>
    <w:rsid w:val="00890C31"/>
    <w:rsid w:val="00892627"/>
    <w:rsid w:val="00894748"/>
    <w:rsid w:val="00894C37"/>
    <w:rsid w:val="008968E2"/>
    <w:rsid w:val="008A09D6"/>
    <w:rsid w:val="008A0FE8"/>
    <w:rsid w:val="008A3E18"/>
    <w:rsid w:val="008A3FE1"/>
    <w:rsid w:val="008A4669"/>
    <w:rsid w:val="008A46C4"/>
    <w:rsid w:val="008A55F2"/>
    <w:rsid w:val="008A59CD"/>
    <w:rsid w:val="008A69C9"/>
    <w:rsid w:val="008A6CEE"/>
    <w:rsid w:val="008A72D5"/>
    <w:rsid w:val="008B0DF1"/>
    <w:rsid w:val="008B1A20"/>
    <w:rsid w:val="008B2296"/>
    <w:rsid w:val="008B262B"/>
    <w:rsid w:val="008B4A80"/>
    <w:rsid w:val="008B5E54"/>
    <w:rsid w:val="008B6679"/>
    <w:rsid w:val="008B6FA5"/>
    <w:rsid w:val="008C0D9B"/>
    <w:rsid w:val="008C1150"/>
    <w:rsid w:val="008C1D05"/>
    <w:rsid w:val="008C2448"/>
    <w:rsid w:val="008C2D27"/>
    <w:rsid w:val="008C3853"/>
    <w:rsid w:val="008C52FE"/>
    <w:rsid w:val="008C69E5"/>
    <w:rsid w:val="008C7E64"/>
    <w:rsid w:val="008D00E5"/>
    <w:rsid w:val="008D0383"/>
    <w:rsid w:val="008D136E"/>
    <w:rsid w:val="008D2C7A"/>
    <w:rsid w:val="008D4C3D"/>
    <w:rsid w:val="008D4FD2"/>
    <w:rsid w:val="008D5128"/>
    <w:rsid w:val="008D5306"/>
    <w:rsid w:val="008D6967"/>
    <w:rsid w:val="008D6A82"/>
    <w:rsid w:val="008D6F61"/>
    <w:rsid w:val="008E0A20"/>
    <w:rsid w:val="008E22B9"/>
    <w:rsid w:val="008E25E6"/>
    <w:rsid w:val="008E269C"/>
    <w:rsid w:val="008E3EC5"/>
    <w:rsid w:val="008E4A08"/>
    <w:rsid w:val="008E4B48"/>
    <w:rsid w:val="008E6365"/>
    <w:rsid w:val="008E74EA"/>
    <w:rsid w:val="008E77A7"/>
    <w:rsid w:val="008F0EE4"/>
    <w:rsid w:val="008F1D4A"/>
    <w:rsid w:val="008F2B91"/>
    <w:rsid w:val="008F2F0A"/>
    <w:rsid w:val="008F31C4"/>
    <w:rsid w:val="008F37CE"/>
    <w:rsid w:val="008F4342"/>
    <w:rsid w:val="008F4894"/>
    <w:rsid w:val="008F4C45"/>
    <w:rsid w:val="008F56C7"/>
    <w:rsid w:val="008F5FED"/>
    <w:rsid w:val="008F63DE"/>
    <w:rsid w:val="008F6932"/>
    <w:rsid w:val="008F6FB2"/>
    <w:rsid w:val="008F7278"/>
    <w:rsid w:val="008F7417"/>
    <w:rsid w:val="00900492"/>
    <w:rsid w:val="00901613"/>
    <w:rsid w:val="0090406D"/>
    <w:rsid w:val="00904441"/>
    <w:rsid w:val="00904768"/>
    <w:rsid w:val="009053AC"/>
    <w:rsid w:val="0090592C"/>
    <w:rsid w:val="00905DAC"/>
    <w:rsid w:val="00905F4B"/>
    <w:rsid w:val="00906EAE"/>
    <w:rsid w:val="00907C0C"/>
    <w:rsid w:val="00910087"/>
    <w:rsid w:val="00910E86"/>
    <w:rsid w:val="009116A4"/>
    <w:rsid w:val="00913893"/>
    <w:rsid w:val="0091417D"/>
    <w:rsid w:val="0091526C"/>
    <w:rsid w:val="0091564D"/>
    <w:rsid w:val="00915DD6"/>
    <w:rsid w:val="00915E91"/>
    <w:rsid w:val="009169BA"/>
    <w:rsid w:val="00916E0D"/>
    <w:rsid w:val="009201BE"/>
    <w:rsid w:val="00920C27"/>
    <w:rsid w:val="009216F5"/>
    <w:rsid w:val="009222AE"/>
    <w:rsid w:val="00923C88"/>
    <w:rsid w:val="009242F8"/>
    <w:rsid w:val="009243B6"/>
    <w:rsid w:val="009245D2"/>
    <w:rsid w:val="00924652"/>
    <w:rsid w:val="00925123"/>
    <w:rsid w:val="00925B93"/>
    <w:rsid w:val="00925E8F"/>
    <w:rsid w:val="009267B8"/>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EEA"/>
    <w:rsid w:val="00957F2E"/>
    <w:rsid w:val="00961501"/>
    <w:rsid w:val="009615EA"/>
    <w:rsid w:val="00961EA6"/>
    <w:rsid w:val="00963557"/>
    <w:rsid w:val="00963ED4"/>
    <w:rsid w:val="00964DB7"/>
    <w:rsid w:val="00964DB8"/>
    <w:rsid w:val="0096510E"/>
    <w:rsid w:val="00966EBD"/>
    <w:rsid w:val="0097016A"/>
    <w:rsid w:val="009702FB"/>
    <w:rsid w:val="0097044C"/>
    <w:rsid w:val="0097081F"/>
    <w:rsid w:val="00971131"/>
    <w:rsid w:val="00971635"/>
    <w:rsid w:val="00974859"/>
    <w:rsid w:val="009748CC"/>
    <w:rsid w:val="00974F70"/>
    <w:rsid w:val="00975092"/>
    <w:rsid w:val="00975633"/>
    <w:rsid w:val="00980226"/>
    <w:rsid w:val="00981412"/>
    <w:rsid w:val="009816E3"/>
    <w:rsid w:val="00985D0E"/>
    <w:rsid w:val="009868E7"/>
    <w:rsid w:val="009873E9"/>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DBE"/>
    <w:rsid w:val="009B465C"/>
    <w:rsid w:val="009B4E56"/>
    <w:rsid w:val="009B51A5"/>
    <w:rsid w:val="009B52B1"/>
    <w:rsid w:val="009B66C8"/>
    <w:rsid w:val="009B77E3"/>
    <w:rsid w:val="009C0494"/>
    <w:rsid w:val="009C1DCE"/>
    <w:rsid w:val="009C2E4E"/>
    <w:rsid w:val="009C3805"/>
    <w:rsid w:val="009C38BC"/>
    <w:rsid w:val="009C555F"/>
    <w:rsid w:val="009C58BD"/>
    <w:rsid w:val="009C5A9D"/>
    <w:rsid w:val="009C5F1F"/>
    <w:rsid w:val="009D0310"/>
    <w:rsid w:val="009D0432"/>
    <w:rsid w:val="009D0AFE"/>
    <w:rsid w:val="009D124C"/>
    <w:rsid w:val="009D12CA"/>
    <w:rsid w:val="009D391E"/>
    <w:rsid w:val="009D410A"/>
    <w:rsid w:val="009D49F1"/>
    <w:rsid w:val="009D4C56"/>
    <w:rsid w:val="009D548F"/>
    <w:rsid w:val="009D5905"/>
    <w:rsid w:val="009D5D32"/>
    <w:rsid w:val="009D5F28"/>
    <w:rsid w:val="009D7962"/>
    <w:rsid w:val="009D7D67"/>
    <w:rsid w:val="009E1B7D"/>
    <w:rsid w:val="009E284C"/>
    <w:rsid w:val="009E353C"/>
    <w:rsid w:val="009E3E7A"/>
    <w:rsid w:val="009E4D4E"/>
    <w:rsid w:val="009E4E50"/>
    <w:rsid w:val="009E55DC"/>
    <w:rsid w:val="009E5A8B"/>
    <w:rsid w:val="009E6093"/>
    <w:rsid w:val="009E6804"/>
    <w:rsid w:val="009E6BCA"/>
    <w:rsid w:val="009E74F0"/>
    <w:rsid w:val="009E7A4A"/>
    <w:rsid w:val="009F0813"/>
    <w:rsid w:val="009F097B"/>
    <w:rsid w:val="009F0B2A"/>
    <w:rsid w:val="009F0EE8"/>
    <w:rsid w:val="009F1B3B"/>
    <w:rsid w:val="009F1E4F"/>
    <w:rsid w:val="009F2D18"/>
    <w:rsid w:val="009F365E"/>
    <w:rsid w:val="009F3E7A"/>
    <w:rsid w:val="009F4272"/>
    <w:rsid w:val="009F42A8"/>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190D"/>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312FD"/>
    <w:rsid w:val="00A31A4F"/>
    <w:rsid w:val="00A31DA9"/>
    <w:rsid w:val="00A32592"/>
    <w:rsid w:val="00A33DBD"/>
    <w:rsid w:val="00A36214"/>
    <w:rsid w:val="00A36D5D"/>
    <w:rsid w:val="00A370A3"/>
    <w:rsid w:val="00A37CDA"/>
    <w:rsid w:val="00A40206"/>
    <w:rsid w:val="00A41843"/>
    <w:rsid w:val="00A41C41"/>
    <w:rsid w:val="00A44422"/>
    <w:rsid w:val="00A4458E"/>
    <w:rsid w:val="00A44F07"/>
    <w:rsid w:val="00A45B3B"/>
    <w:rsid w:val="00A45E50"/>
    <w:rsid w:val="00A46D85"/>
    <w:rsid w:val="00A471C7"/>
    <w:rsid w:val="00A504CC"/>
    <w:rsid w:val="00A50C45"/>
    <w:rsid w:val="00A50EC7"/>
    <w:rsid w:val="00A51C2B"/>
    <w:rsid w:val="00A51DCE"/>
    <w:rsid w:val="00A5268E"/>
    <w:rsid w:val="00A53A92"/>
    <w:rsid w:val="00A54BC6"/>
    <w:rsid w:val="00A54DAA"/>
    <w:rsid w:val="00A55F52"/>
    <w:rsid w:val="00A57284"/>
    <w:rsid w:val="00A579D6"/>
    <w:rsid w:val="00A6383F"/>
    <w:rsid w:val="00A64837"/>
    <w:rsid w:val="00A6564E"/>
    <w:rsid w:val="00A65CA5"/>
    <w:rsid w:val="00A65DA1"/>
    <w:rsid w:val="00A6646D"/>
    <w:rsid w:val="00A664F4"/>
    <w:rsid w:val="00A66C0A"/>
    <w:rsid w:val="00A66CAB"/>
    <w:rsid w:val="00A67239"/>
    <w:rsid w:val="00A67481"/>
    <w:rsid w:val="00A674A0"/>
    <w:rsid w:val="00A7005F"/>
    <w:rsid w:val="00A70BD8"/>
    <w:rsid w:val="00A7230B"/>
    <w:rsid w:val="00A75032"/>
    <w:rsid w:val="00A771FE"/>
    <w:rsid w:val="00A77903"/>
    <w:rsid w:val="00A80A21"/>
    <w:rsid w:val="00A81F16"/>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2184"/>
    <w:rsid w:val="00AA299F"/>
    <w:rsid w:val="00AA2ECD"/>
    <w:rsid w:val="00AA2F4C"/>
    <w:rsid w:val="00AA389E"/>
    <w:rsid w:val="00AA4670"/>
    <w:rsid w:val="00AA5EB8"/>
    <w:rsid w:val="00AA7877"/>
    <w:rsid w:val="00AA7F3B"/>
    <w:rsid w:val="00AB1BC5"/>
    <w:rsid w:val="00AB331C"/>
    <w:rsid w:val="00AB34FB"/>
    <w:rsid w:val="00AB386C"/>
    <w:rsid w:val="00AB3AE1"/>
    <w:rsid w:val="00AB3EA7"/>
    <w:rsid w:val="00AB5385"/>
    <w:rsid w:val="00AB63C9"/>
    <w:rsid w:val="00AB7A39"/>
    <w:rsid w:val="00AB7BCC"/>
    <w:rsid w:val="00AC0D89"/>
    <w:rsid w:val="00AC0DED"/>
    <w:rsid w:val="00AC0EDD"/>
    <w:rsid w:val="00AC24D4"/>
    <w:rsid w:val="00AC286A"/>
    <w:rsid w:val="00AC30A5"/>
    <w:rsid w:val="00AC3589"/>
    <w:rsid w:val="00AC538B"/>
    <w:rsid w:val="00AC6483"/>
    <w:rsid w:val="00AD0CB0"/>
    <w:rsid w:val="00AD1131"/>
    <w:rsid w:val="00AD4CA1"/>
    <w:rsid w:val="00AD516F"/>
    <w:rsid w:val="00AD5589"/>
    <w:rsid w:val="00AD78EC"/>
    <w:rsid w:val="00AE00A8"/>
    <w:rsid w:val="00AE06E4"/>
    <w:rsid w:val="00AE09E4"/>
    <w:rsid w:val="00AE0E4B"/>
    <w:rsid w:val="00AE2238"/>
    <w:rsid w:val="00AE2F94"/>
    <w:rsid w:val="00AE30CB"/>
    <w:rsid w:val="00AE444F"/>
    <w:rsid w:val="00AE451A"/>
    <w:rsid w:val="00AE4633"/>
    <w:rsid w:val="00AE4FD3"/>
    <w:rsid w:val="00AE52A5"/>
    <w:rsid w:val="00AE5B2D"/>
    <w:rsid w:val="00AE789D"/>
    <w:rsid w:val="00AE7D59"/>
    <w:rsid w:val="00AF08B4"/>
    <w:rsid w:val="00AF20EE"/>
    <w:rsid w:val="00AF21AB"/>
    <w:rsid w:val="00AF2A5D"/>
    <w:rsid w:val="00AF39F4"/>
    <w:rsid w:val="00AF4D5D"/>
    <w:rsid w:val="00AF5525"/>
    <w:rsid w:val="00AF5F92"/>
    <w:rsid w:val="00AF66E6"/>
    <w:rsid w:val="00AF6B5D"/>
    <w:rsid w:val="00AF78C3"/>
    <w:rsid w:val="00B01283"/>
    <w:rsid w:val="00B03CFC"/>
    <w:rsid w:val="00B0447A"/>
    <w:rsid w:val="00B0665E"/>
    <w:rsid w:val="00B07071"/>
    <w:rsid w:val="00B119E8"/>
    <w:rsid w:val="00B11C1D"/>
    <w:rsid w:val="00B12CED"/>
    <w:rsid w:val="00B13427"/>
    <w:rsid w:val="00B13A20"/>
    <w:rsid w:val="00B13CF4"/>
    <w:rsid w:val="00B159F0"/>
    <w:rsid w:val="00B15BBF"/>
    <w:rsid w:val="00B15BF6"/>
    <w:rsid w:val="00B16192"/>
    <w:rsid w:val="00B173B8"/>
    <w:rsid w:val="00B2075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11C5"/>
    <w:rsid w:val="00B415F6"/>
    <w:rsid w:val="00B417FD"/>
    <w:rsid w:val="00B4221C"/>
    <w:rsid w:val="00B42441"/>
    <w:rsid w:val="00B443CB"/>
    <w:rsid w:val="00B45627"/>
    <w:rsid w:val="00B460C7"/>
    <w:rsid w:val="00B47F23"/>
    <w:rsid w:val="00B50FC3"/>
    <w:rsid w:val="00B51AB0"/>
    <w:rsid w:val="00B528E7"/>
    <w:rsid w:val="00B536BA"/>
    <w:rsid w:val="00B55CB0"/>
    <w:rsid w:val="00B566E5"/>
    <w:rsid w:val="00B60581"/>
    <w:rsid w:val="00B60D0F"/>
    <w:rsid w:val="00B6134E"/>
    <w:rsid w:val="00B61815"/>
    <w:rsid w:val="00B618A0"/>
    <w:rsid w:val="00B621A3"/>
    <w:rsid w:val="00B62308"/>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86"/>
    <w:rsid w:val="00B762CA"/>
    <w:rsid w:val="00B7651D"/>
    <w:rsid w:val="00B765D6"/>
    <w:rsid w:val="00B7699A"/>
    <w:rsid w:val="00B83049"/>
    <w:rsid w:val="00B833CC"/>
    <w:rsid w:val="00B83E38"/>
    <w:rsid w:val="00B84571"/>
    <w:rsid w:val="00B84BA1"/>
    <w:rsid w:val="00B85144"/>
    <w:rsid w:val="00B8520A"/>
    <w:rsid w:val="00B85E2A"/>
    <w:rsid w:val="00B875E8"/>
    <w:rsid w:val="00B87B57"/>
    <w:rsid w:val="00B919B5"/>
    <w:rsid w:val="00B92833"/>
    <w:rsid w:val="00B931D2"/>
    <w:rsid w:val="00B93439"/>
    <w:rsid w:val="00B93A3A"/>
    <w:rsid w:val="00B94456"/>
    <w:rsid w:val="00B9712E"/>
    <w:rsid w:val="00B977B8"/>
    <w:rsid w:val="00BA0471"/>
    <w:rsid w:val="00BA0BC2"/>
    <w:rsid w:val="00BA0C2D"/>
    <w:rsid w:val="00BA0C40"/>
    <w:rsid w:val="00BA10DA"/>
    <w:rsid w:val="00BA4030"/>
    <w:rsid w:val="00BA5047"/>
    <w:rsid w:val="00BA54C2"/>
    <w:rsid w:val="00BA62A8"/>
    <w:rsid w:val="00BB188F"/>
    <w:rsid w:val="00BB1FC3"/>
    <w:rsid w:val="00BB26EE"/>
    <w:rsid w:val="00BB2967"/>
    <w:rsid w:val="00BB2ACB"/>
    <w:rsid w:val="00BB424C"/>
    <w:rsid w:val="00BB4427"/>
    <w:rsid w:val="00BB473E"/>
    <w:rsid w:val="00BB5810"/>
    <w:rsid w:val="00BB6169"/>
    <w:rsid w:val="00BB78FA"/>
    <w:rsid w:val="00BC0565"/>
    <w:rsid w:val="00BC4DAB"/>
    <w:rsid w:val="00BC5599"/>
    <w:rsid w:val="00BC5BDA"/>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2D96"/>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4C25"/>
    <w:rsid w:val="00C0549F"/>
    <w:rsid w:val="00C054AB"/>
    <w:rsid w:val="00C05745"/>
    <w:rsid w:val="00C05E42"/>
    <w:rsid w:val="00C063BB"/>
    <w:rsid w:val="00C067E5"/>
    <w:rsid w:val="00C06D53"/>
    <w:rsid w:val="00C07E91"/>
    <w:rsid w:val="00C1017C"/>
    <w:rsid w:val="00C10287"/>
    <w:rsid w:val="00C10472"/>
    <w:rsid w:val="00C10655"/>
    <w:rsid w:val="00C113EC"/>
    <w:rsid w:val="00C12367"/>
    <w:rsid w:val="00C1374D"/>
    <w:rsid w:val="00C13CEC"/>
    <w:rsid w:val="00C13E67"/>
    <w:rsid w:val="00C14121"/>
    <w:rsid w:val="00C1487A"/>
    <w:rsid w:val="00C150B4"/>
    <w:rsid w:val="00C1522B"/>
    <w:rsid w:val="00C15580"/>
    <w:rsid w:val="00C15842"/>
    <w:rsid w:val="00C2055A"/>
    <w:rsid w:val="00C20D52"/>
    <w:rsid w:val="00C211FC"/>
    <w:rsid w:val="00C214CF"/>
    <w:rsid w:val="00C215C0"/>
    <w:rsid w:val="00C21775"/>
    <w:rsid w:val="00C21F80"/>
    <w:rsid w:val="00C22026"/>
    <w:rsid w:val="00C22CC3"/>
    <w:rsid w:val="00C25004"/>
    <w:rsid w:val="00C25AF4"/>
    <w:rsid w:val="00C26D8A"/>
    <w:rsid w:val="00C27258"/>
    <w:rsid w:val="00C279ED"/>
    <w:rsid w:val="00C31775"/>
    <w:rsid w:val="00C3248B"/>
    <w:rsid w:val="00C34412"/>
    <w:rsid w:val="00C346AB"/>
    <w:rsid w:val="00C34EDA"/>
    <w:rsid w:val="00C35028"/>
    <w:rsid w:val="00C361B7"/>
    <w:rsid w:val="00C373C7"/>
    <w:rsid w:val="00C379B8"/>
    <w:rsid w:val="00C37CC9"/>
    <w:rsid w:val="00C40180"/>
    <w:rsid w:val="00C4027C"/>
    <w:rsid w:val="00C408B6"/>
    <w:rsid w:val="00C41373"/>
    <w:rsid w:val="00C43D99"/>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22A8"/>
    <w:rsid w:val="00C83A04"/>
    <w:rsid w:val="00C84CE2"/>
    <w:rsid w:val="00C85CDE"/>
    <w:rsid w:val="00C914DD"/>
    <w:rsid w:val="00C92E08"/>
    <w:rsid w:val="00C93C9B"/>
    <w:rsid w:val="00C97052"/>
    <w:rsid w:val="00CA04BA"/>
    <w:rsid w:val="00CA0EF2"/>
    <w:rsid w:val="00CA1F0F"/>
    <w:rsid w:val="00CA3241"/>
    <w:rsid w:val="00CA32E2"/>
    <w:rsid w:val="00CA3FF8"/>
    <w:rsid w:val="00CA4BCA"/>
    <w:rsid w:val="00CA4E94"/>
    <w:rsid w:val="00CA4F43"/>
    <w:rsid w:val="00CA57EB"/>
    <w:rsid w:val="00CA6217"/>
    <w:rsid w:val="00CA6B9D"/>
    <w:rsid w:val="00CA6C3F"/>
    <w:rsid w:val="00CA761F"/>
    <w:rsid w:val="00CA7ABB"/>
    <w:rsid w:val="00CA7D92"/>
    <w:rsid w:val="00CA7E0F"/>
    <w:rsid w:val="00CB073D"/>
    <w:rsid w:val="00CB11E9"/>
    <w:rsid w:val="00CB12EF"/>
    <w:rsid w:val="00CB1B4F"/>
    <w:rsid w:val="00CB211F"/>
    <w:rsid w:val="00CB252A"/>
    <w:rsid w:val="00CB3139"/>
    <w:rsid w:val="00CB36B1"/>
    <w:rsid w:val="00CB3C42"/>
    <w:rsid w:val="00CB449E"/>
    <w:rsid w:val="00CB70EA"/>
    <w:rsid w:val="00CB750C"/>
    <w:rsid w:val="00CB781E"/>
    <w:rsid w:val="00CC052F"/>
    <w:rsid w:val="00CC0723"/>
    <w:rsid w:val="00CC0D10"/>
    <w:rsid w:val="00CC2353"/>
    <w:rsid w:val="00CC2892"/>
    <w:rsid w:val="00CC3323"/>
    <w:rsid w:val="00CC3991"/>
    <w:rsid w:val="00CC4B81"/>
    <w:rsid w:val="00CC550A"/>
    <w:rsid w:val="00CC5B6E"/>
    <w:rsid w:val="00CC635F"/>
    <w:rsid w:val="00CD32CF"/>
    <w:rsid w:val="00CD407F"/>
    <w:rsid w:val="00CD40F9"/>
    <w:rsid w:val="00CD48CE"/>
    <w:rsid w:val="00CD557E"/>
    <w:rsid w:val="00CD5A4B"/>
    <w:rsid w:val="00CD5CD2"/>
    <w:rsid w:val="00CD5F3D"/>
    <w:rsid w:val="00CD5FE7"/>
    <w:rsid w:val="00CD604B"/>
    <w:rsid w:val="00CD6EED"/>
    <w:rsid w:val="00CE0241"/>
    <w:rsid w:val="00CE06B3"/>
    <w:rsid w:val="00CE152A"/>
    <w:rsid w:val="00CE1BA4"/>
    <w:rsid w:val="00CE26CD"/>
    <w:rsid w:val="00CE6D3D"/>
    <w:rsid w:val="00CE7AC6"/>
    <w:rsid w:val="00CE7F2F"/>
    <w:rsid w:val="00CE7FC8"/>
    <w:rsid w:val="00CF09C5"/>
    <w:rsid w:val="00CF18E7"/>
    <w:rsid w:val="00CF220C"/>
    <w:rsid w:val="00CF2371"/>
    <w:rsid w:val="00CF3904"/>
    <w:rsid w:val="00CF3B78"/>
    <w:rsid w:val="00CF4AED"/>
    <w:rsid w:val="00CF6C69"/>
    <w:rsid w:val="00D01664"/>
    <w:rsid w:val="00D03243"/>
    <w:rsid w:val="00D038CC"/>
    <w:rsid w:val="00D03FF6"/>
    <w:rsid w:val="00D04BA7"/>
    <w:rsid w:val="00D10628"/>
    <w:rsid w:val="00D12292"/>
    <w:rsid w:val="00D12991"/>
    <w:rsid w:val="00D1340E"/>
    <w:rsid w:val="00D14739"/>
    <w:rsid w:val="00D147C8"/>
    <w:rsid w:val="00D16A2E"/>
    <w:rsid w:val="00D16C4A"/>
    <w:rsid w:val="00D17FF8"/>
    <w:rsid w:val="00D20034"/>
    <w:rsid w:val="00D201EF"/>
    <w:rsid w:val="00D20D11"/>
    <w:rsid w:val="00D2168D"/>
    <w:rsid w:val="00D225B4"/>
    <w:rsid w:val="00D22B60"/>
    <w:rsid w:val="00D239A5"/>
    <w:rsid w:val="00D250AD"/>
    <w:rsid w:val="00D267B2"/>
    <w:rsid w:val="00D279EF"/>
    <w:rsid w:val="00D27CE6"/>
    <w:rsid w:val="00D303D6"/>
    <w:rsid w:val="00D31311"/>
    <w:rsid w:val="00D32A41"/>
    <w:rsid w:val="00D32E79"/>
    <w:rsid w:val="00D3308F"/>
    <w:rsid w:val="00D334B0"/>
    <w:rsid w:val="00D3368C"/>
    <w:rsid w:val="00D34F31"/>
    <w:rsid w:val="00D3519D"/>
    <w:rsid w:val="00D35B90"/>
    <w:rsid w:val="00D3629F"/>
    <w:rsid w:val="00D40159"/>
    <w:rsid w:val="00D404E0"/>
    <w:rsid w:val="00D411FC"/>
    <w:rsid w:val="00D413E3"/>
    <w:rsid w:val="00D41718"/>
    <w:rsid w:val="00D41D5B"/>
    <w:rsid w:val="00D42B7A"/>
    <w:rsid w:val="00D430AB"/>
    <w:rsid w:val="00D43627"/>
    <w:rsid w:val="00D43AAD"/>
    <w:rsid w:val="00D44580"/>
    <w:rsid w:val="00D44D08"/>
    <w:rsid w:val="00D4567B"/>
    <w:rsid w:val="00D46E51"/>
    <w:rsid w:val="00D505CA"/>
    <w:rsid w:val="00D51B1F"/>
    <w:rsid w:val="00D523B4"/>
    <w:rsid w:val="00D52898"/>
    <w:rsid w:val="00D5294F"/>
    <w:rsid w:val="00D52EC3"/>
    <w:rsid w:val="00D52F6C"/>
    <w:rsid w:val="00D5381C"/>
    <w:rsid w:val="00D53B20"/>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2CAF"/>
    <w:rsid w:val="00D749FB"/>
    <w:rsid w:val="00D75403"/>
    <w:rsid w:val="00D75F90"/>
    <w:rsid w:val="00D76700"/>
    <w:rsid w:val="00D76E1B"/>
    <w:rsid w:val="00D80D66"/>
    <w:rsid w:val="00D80DD8"/>
    <w:rsid w:val="00D80FC6"/>
    <w:rsid w:val="00D812EF"/>
    <w:rsid w:val="00D81874"/>
    <w:rsid w:val="00D81C11"/>
    <w:rsid w:val="00D8221A"/>
    <w:rsid w:val="00D836B3"/>
    <w:rsid w:val="00D83EB6"/>
    <w:rsid w:val="00D85013"/>
    <w:rsid w:val="00D85AE6"/>
    <w:rsid w:val="00D87BF6"/>
    <w:rsid w:val="00D91F78"/>
    <w:rsid w:val="00D92959"/>
    <w:rsid w:val="00D93655"/>
    <w:rsid w:val="00D93CE9"/>
    <w:rsid w:val="00D93DF6"/>
    <w:rsid w:val="00D9426A"/>
    <w:rsid w:val="00D9453F"/>
    <w:rsid w:val="00D945A9"/>
    <w:rsid w:val="00D94D0E"/>
    <w:rsid w:val="00D972A2"/>
    <w:rsid w:val="00DA1147"/>
    <w:rsid w:val="00DA16CE"/>
    <w:rsid w:val="00DA247F"/>
    <w:rsid w:val="00DA3940"/>
    <w:rsid w:val="00DA4CC1"/>
    <w:rsid w:val="00DA6E91"/>
    <w:rsid w:val="00DA7BE5"/>
    <w:rsid w:val="00DB0303"/>
    <w:rsid w:val="00DB1A75"/>
    <w:rsid w:val="00DB2789"/>
    <w:rsid w:val="00DB302D"/>
    <w:rsid w:val="00DB41EC"/>
    <w:rsid w:val="00DB4272"/>
    <w:rsid w:val="00DB4A3C"/>
    <w:rsid w:val="00DB65C9"/>
    <w:rsid w:val="00DB74CA"/>
    <w:rsid w:val="00DB7C6A"/>
    <w:rsid w:val="00DC0059"/>
    <w:rsid w:val="00DC0A49"/>
    <w:rsid w:val="00DC44A3"/>
    <w:rsid w:val="00DC4A29"/>
    <w:rsid w:val="00DC5536"/>
    <w:rsid w:val="00DC581C"/>
    <w:rsid w:val="00DC5AB8"/>
    <w:rsid w:val="00DC5E92"/>
    <w:rsid w:val="00DC6368"/>
    <w:rsid w:val="00DC642A"/>
    <w:rsid w:val="00DD080B"/>
    <w:rsid w:val="00DD0883"/>
    <w:rsid w:val="00DD12EA"/>
    <w:rsid w:val="00DD13DB"/>
    <w:rsid w:val="00DD15CF"/>
    <w:rsid w:val="00DD1635"/>
    <w:rsid w:val="00DD212B"/>
    <w:rsid w:val="00DD2409"/>
    <w:rsid w:val="00DD2710"/>
    <w:rsid w:val="00DD352A"/>
    <w:rsid w:val="00DD36CF"/>
    <w:rsid w:val="00DD36D7"/>
    <w:rsid w:val="00DD42AB"/>
    <w:rsid w:val="00DD4DEA"/>
    <w:rsid w:val="00DD5EFE"/>
    <w:rsid w:val="00DD6171"/>
    <w:rsid w:val="00DD63E7"/>
    <w:rsid w:val="00DD727A"/>
    <w:rsid w:val="00DD73A4"/>
    <w:rsid w:val="00DD787E"/>
    <w:rsid w:val="00DE2AC2"/>
    <w:rsid w:val="00DE350D"/>
    <w:rsid w:val="00DE3D30"/>
    <w:rsid w:val="00DE4240"/>
    <w:rsid w:val="00DE496B"/>
    <w:rsid w:val="00DE4C33"/>
    <w:rsid w:val="00DE5227"/>
    <w:rsid w:val="00DE61A6"/>
    <w:rsid w:val="00DE6994"/>
    <w:rsid w:val="00DE6E98"/>
    <w:rsid w:val="00DE7044"/>
    <w:rsid w:val="00DF005D"/>
    <w:rsid w:val="00DF099C"/>
    <w:rsid w:val="00DF0DD9"/>
    <w:rsid w:val="00DF156D"/>
    <w:rsid w:val="00DF1C8C"/>
    <w:rsid w:val="00DF2600"/>
    <w:rsid w:val="00DF27CD"/>
    <w:rsid w:val="00DF4AB8"/>
    <w:rsid w:val="00DF565A"/>
    <w:rsid w:val="00E007EA"/>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437"/>
    <w:rsid w:val="00E178A6"/>
    <w:rsid w:val="00E17B42"/>
    <w:rsid w:val="00E17DDB"/>
    <w:rsid w:val="00E20979"/>
    <w:rsid w:val="00E21A5B"/>
    <w:rsid w:val="00E22469"/>
    <w:rsid w:val="00E23330"/>
    <w:rsid w:val="00E238A6"/>
    <w:rsid w:val="00E23FCD"/>
    <w:rsid w:val="00E24850"/>
    <w:rsid w:val="00E26AF6"/>
    <w:rsid w:val="00E27B22"/>
    <w:rsid w:val="00E305B5"/>
    <w:rsid w:val="00E30DB6"/>
    <w:rsid w:val="00E312DC"/>
    <w:rsid w:val="00E31D05"/>
    <w:rsid w:val="00E32232"/>
    <w:rsid w:val="00E3299E"/>
    <w:rsid w:val="00E32E44"/>
    <w:rsid w:val="00E343FA"/>
    <w:rsid w:val="00E3521E"/>
    <w:rsid w:val="00E35452"/>
    <w:rsid w:val="00E35F55"/>
    <w:rsid w:val="00E374EB"/>
    <w:rsid w:val="00E37B21"/>
    <w:rsid w:val="00E40A07"/>
    <w:rsid w:val="00E415C0"/>
    <w:rsid w:val="00E4357D"/>
    <w:rsid w:val="00E43DC7"/>
    <w:rsid w:val="00E45371"/>
    <w:rsid w:val="00E454B9"/>
    <w:rsid w:val="00E45874"/>
    <w:rsid w:val="00E47E03"/>
    <w:rsid w:val="00E50309"/>
    <w:rsid w:val="00E5058F"/>
    <w:rsid w:val="00E5066F"/>
    <w:rsid w:val="00E5087F"/>
    <w:rsid w:val="00E5133F"/>
    <w:rsid w:val="00E5283D"/>
    <w:rsid w:val="00E5343A"/>
    <w:rsid w:val="00E53ECF"/>
    <w:rsid w:val="00E53F12"/>
    <w:rsid w:val="00E543D4"/>
    <w:rsid w:val="00E5547A"/>
    <w:rsid w:val="00E55559"/>
    <w:rsid w:val="00E564E8"/>
    <w:rsid w:val="00E56932"/>
    <w:rsid w:val="00E56DB9"/>
    <w:rsid w:val="00E61073"/>
    <w:rsid w:val="00E6303E"/>
    <w:rsid w:val="00E637D2"/>
    <w:rsid w:val="00E649B7"/>
    <w:rsid w:val="00E649EE"/>
    <w:rsid w:val="00E65DE0"/>
    <w:rsid w:val="00E67798"/>
    <w:rsid w:val="00E7147A"/>
    <w:rsid w:val="00E717B6"/>
    <w:rsid w:val="00E71AFE"/>
    <w:rsid w:val="00E71BA4"/>
    <w:rsid w:val="00E71DDF"/>
    <w:rsid w:val="00E71FB6"/>
    <w:rsid w:val="00E721BA"/>
    <w:rsid w:val="00E7253E"/>
    <w:rsid w:val="00E731B3"/>
    <w:rsid w:val="00E7452F"/>
    <w:rsid w:val="00E752E7"/>
    <w:rsid w:val="00E75611"/>
    <w:rsid w:val="00E76028"/>
    <w:rsid w:val="00E77334"/>
    <w:rsid w:val="00E77D27"/>
    <w:rsid w:val="00E83C18"/>
    <w:rsid w:val="00E84970"/>
    <w:rsid w:val="00E84FC9"/>
    <w:rsid w:val="00E84FF0"/>
    <w:rsid w:val="00E8516C"/>
    <w:rsid w:val="00E8634B"/>
    <w:rsid w:val="00E879BD"/>
    <w:rsid w:val="00E90A78"/>
    <w:rsid w:val="00E912D9"/>
    <w:rsid w:val="00E93AD5"/>
    <w:rsid w:val="00E94296"/>
    <w:rsid w:val="00E94996"/>
    <w:rsid w:val="00E94AB3"/>
    <w:rsid w:val="00E96D9E"/>
    <w:rsid w:val="00EA0B60"/>
    <w:rsid w:val="00EA14DF"/>
    <w:rsid w:val="00EA1FD3"/>
    <w:rsid w:val="00EA296D"/>
    <w:rsid w:val="00EA49B6"/>
    <w:rsid w:val="00EA530D"/>
    <w:rsid w:val="00EA60C1"/>
    <w:rsid w:val="00EA6136"/>
    <w:rsid w:val="00EA636C"/>
    <w:rsid w:val="00EA6D18"/>
    <w:rsid w:val="00EB022C"/>
    <w:rsid w:val="00EB0467"/>
    <w:rsid w:val="00EB1EF6"/>
    <w:rsid w:val="00EB1F7B"/>
    <w:rsid w:val="00EB37C7"/>
    <w:rsid w:val="00EB3DE8"/>
    <w:rsid w:val="00EB505B"/>
    <w:rsid w:val="00EB784E"/>
    <w:rsid w:val="00EB78B4"/>
    <w:rsid w:val="00EB7F09"/>
    <w:rsid w:val="00EC04C8"/>
    <w:rsid w:val="00EC0903"/>
    <w:rsid w:val="00EC13DE"/>
    <w:rsid w:val="00EC1625"/>
    <w:rsid w:val="00EC1863"/>
    <w:rsid w:val="00EC2082"/>
    <w:rsid w:val="00EC4137"/>
    <w:rsid w:val="00EC453B"/>
    <w:rsid w:val="00EC498C"/>
    <w:rsid w:val="00EC4D0C"/>
    <w:rsid w:val="00EC5CD6"/>
    <w:rsid w:val="00EC6065"/>
    <w:rsid w:val="00EC619B"/>
    <w:rsid w:val="00EC6637"/>
    <w:rsid w:val="00EC70E5"/>
    <w:rsid w:val="00ED06E0"/>
    <w:rsid w:val="00ED09BC"/>
    <w:rsid w:val="00ED0B25"/>
    <w:rsid w:val="00ED1F58"/>
    <w:rsid w:val="00ED4181"/>
    <w:rsid w:val="00ED5409"/>
    <w:rsid w:val="00EE08E6"/>
    <w:rsid w:val="00EE0AD6"/>
    <w:rsid w:val="00EE445E"/>
    <w:rsid w:val="00EE60E8"/>
    <w:rsid w:val="00EE61A2"/>
    <w:rsid w:val="00EF056A"/>
    <w:rsid w:val="00EF0FF3"/>
    <w:rsid w:val="00EF1543"/>
    <w:rsid w:val="00EF44CC"/>
    <w:rsid w:val="00EF4B83"/>
    <w:rsid w:val="00EF50B5"/>
    <w:rsid w:val="00EF6175"/>
    <w:rsid w:val="00EF6ECC"/>
    <w:rsid w:val="00EF7E5E"/>
    <w:rsid w:val="00EF7EF6"/>
    <w:rsid w:val="00F00204"/>
    <w:rsid w:val="00F005B0"/>
    <w:rsid w:val="00F0196A"/>
    <w:rsid w:val="00F01F55"/>
    <w:rsid w:val="00F023DF"/>
    <w:rsid w:val="00F03100"/>
    <w:rsid w:val="00F03E16"/>
    <w:rsid w:val="00F054BB"/>
    <w:rsid w:val="00F054C6"/>
    <w:rsid w:val="00F055E8"/>
    <w:rsid w:val="00F10C91"/>
    <w:rsid w:val="00F1187B"/>
    <w:rsid w:val="00F11DC8"/>
    <w:rsid w:val="00F132AA"/>
    <w:rsid w:val="00F132F0"/>
    <w:rsid w:val="00F13DEB"/>
    <w:rsid w:val="00F13F2E"/>
    <w:rsid w:val="00F14739"/>
    <w:rsid w:val="00F149EC"/>
    <w:rsid w:val="00F15BB6"/>
    <w:rsid w:val="00F16BAF"/>
    <w:rsid w:val="00F171F5"/>
    <w:rsid w:val="00F20D6F"/>
    <w:rsid w:val="00F2520A"/>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492A"/>
    <w:rsid w:val="00F4529C"/>
    <w:rsid w:val="00F45A20"/>
    <w:rsid w:val="00F45C9E"/>
    <w:rsid w:val="00F50BBD"/>
    <w:rsid w:val="00F50CE4"/>
    <w:rsid w:val="00F50E9C"/>
    <w:rsid w:val="00F5119A"/>
    <w:rsid w:val="00F53566"/>
    <w:rsid w:val="00F53681"/>
    <w:rsid w:val="00F55C5F"/>
    <w:rsid w:val="00F604BD"/>
    <w:rsid w:val="00F60B3B"/>
    <w:rsid w:val="00F61351"/>
    <w:rsid w:val="00F61BE6"/>
    <w:rsid w:val="00F61C12"/>
    <w:rsid w:val="00F61E1F"/>
    <w:rsid w:val="00F62412"/>
    <w:rsid w:val="00F62D8C"/>
    <w:rsid w:val="00F6392F"/>
    <w:rsid w:val="00F64F32"/>
    <w:rsid w:val="00F653A3"/>
    <w:rsid w:val="00F658EC"/>
    <w:rsid w:val="00F65BB9"/>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903"/>
    <w:rsid w:val="00F90A85"/>
    <w:rsid w:val="00F9206E"/>
    <w:rsid w:val="00F92987"/>
    <w:rsid w:val="00F93483"/>
    <w:rsid w:val="00F93E12"/>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36C9"/>
    <w:rsid w:val="00FB427E"/>
    <w:rsid w:val="00FB42C3"/>
    <w:rsid w:val="00FB4329"/>
    <w:rsid w:val="00FB4435"/>
    <w:rsid w:val="00FB5881"/>
    <w:rsid w:val="00FB6F7E"/>
    <w:rsid w:val="00FC187B"/>
    <w:rsid w:val="00FC341C"/>
    <w:rsid w:val="00FC37A9"/>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A5C"/>
    <w:rsid w:val="00FE1862"/>
    <w:rsid w:val="00FE18E8"/>
    <w:rsid w:val="00FE3841"/>
    <w:rsid w:val="00FE465A"/>
    <w:rsid w:val="00FE49EE"/>
    <w:rsid w:val="00FE600E"/>
    <w:rsid w:val="00FE6817"/>
    <w:rsid w:val="00FE68B1"/>
    <w:rsid w:val="00FE68F6"/>
    <w:rsid w:val="00FE69E0"/>
    <w:rsid w:val="00FE7047"/>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43D44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0492"/>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5234C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5234C8"/>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8904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90492"/>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rsid w:val="00A67481"/>
    <w:pPr>
      <w:spacing w:after="0" w:line="240" w:lineRule="auto"/>
      <w:ind w:left="2552"/>
      <w:jc w:val="center"/>
    </w:pPr>
    <w:rPr>
      <w:rFonts w:ascii="Arial" w:eastAsia="Times New Roman" w:hAnsi="Arial" w:cs="Times New Roman"/>
      <w:b/>
      <w:bCs/>
      <w:sz w:val="20"/>
      <w:szCs w:val="20"/>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0492"/>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5234C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5234C8"/>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8904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90492"/>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rsid w:val="00A67481"/>
    <w:pPr>
      <w:spacing w:after="0" w:line="240" w:lineRule="auto"/>
      <w:ind w:left="2552"/>
      <w:jc w:val="center"/>
    </w:pPr>
    <w:rPr>
      <w:rFonts w:ascii="Arial" w:eastAsia="Times New Roman" w:hAnsi="Arial" w:cs="Times New Roman"/>
      <w:b/>
      <w:bCs/>
      <w:sz w:val="20"/>
      <w:szCs w:val="20"/>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296178739">
      <w:bodyDiv w:val="1"/>
      <w:marLeft w:val="0"/>
      <w:marRight w:val="0"/>
      <w:marTop w:val="0"/>
      <w:marBottom w:val="0"/>
      <w:divBdr>
        <w:top w:val="none" w:sz="0" w:space="0" w:color="auto"/>
        <w:left w:val="none" w:sz="0" w:space="0" w:color="auto"/>
        <w:bottom w:val="none" w:sz="0" w:space="0" w:color="auto"/>
        <w:right w:val="none" w:sz="0" w:space="0" w:color="auto"/>
      </w:divBdr>
    </w:div>
    <w:div w:id="631786049">
      <w:bodyDiv w:val="1"/>
      <w:marLeft w:val="0"/>
      <w:marRight w:val="0"/>
      <w:marTop w:val="0"/>
      <w:marBottom w:val="0"/>
      <w:divBdr>
        <w:top w:val="none" w:sz="0" w:space="0" w:color="auto"/>
        <w:left w:val="none" w:sz="0" w:space="0" w:color="auto"/>
        <w:bottom w:val="none" w:sz="0" w:space="0" w:color="auto"/>
        <w:right w:val="none" w:sz="0" w:space="0" w:color="auto"/>
      </w:divBdr>
    </w:div>
    <w:div w:id="679161691">
      <w:bodyDiv w:val="1"/>
      <w:marLeft w:val="0"/>
      <w:marRight w:val="0"/>
      <w:marTop w:val="0"/>
      <w:marBottom w:val="0"/>
      <w:divBdr>
        <w:top w:val="none" w:sz="0" w:space="0" w:color="auto"/>
        <w:left w:val="none" w:sz="0" w:space="0" w:color="auto"/>
        <w:bottom w:val="none" w:sz="0" w:space="0" w:color="auto"/>
        <w:right w:val="none" w:sz="0" w:space="0" w:color="auto"/>
      </w:divBdr>
    </w:div>
    <w:div w:id="996767927">
      <w:bodyDiv w:val="1"/>
      <w:marLeft w:val="0"/>
      <w:marRight w:val="0"/>
      <w:marTop w:val="0"/>
      <w:marBottom w:val="0"/>
      <w:divBdr>
        <w:top w:val="none" w:sz="0" w:space="0" w:color="auto"/>
        <w:left w:val="none" w:sz="0" w:space="0" w:color="auto"/>
        <w:bottom w:val="none" w:sz="0" w:space="0" w:color="auto"/>
        <w:right w:val="none" w:sz="0" w:space="0" w:color="auto"/>
      </w:divBdr>
    </w:div>
    <w:div w:id="1225990101">
      <w:bodyDiv w:val="1"/>
      <w:marLeft w:val="0"/>
      <w:marRight w:val="0"/>
      <w:marTop w:val="0"/>
      <w:marBottom w:val="0"/>
      <w:divBdr>
        <w:top w:val="none" w:sz="0" w:space="0" w:color="auto"/>
        <w:left w:val="none" w:sz="0" w:space="0" w:color="auto"/>
        <w:bottom w:val="none" w:sz="0" w:space="0" w:color="auto"/>
        <w:right w:val="none" w:sz="0" w:space="0" w:color="auto"/>
      </w:divBdr>
    </w:div>
    <w:div w:id="1289429017">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11.emf"/><Relationship Id="rId31"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BE7CCC-E09A-4237-957F-51A87D226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15</Pages>
  <Words>3454</Words>
  <Characters>19690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23098</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Mårten </cp:lastModifiedBy>
  <cp:revision>69</cp:revision>
  <cp:lastPrinted>2013-02-08T15:42:00Z</cp:lastPrinted>
  <dcterms:created xsi:type="dcterms:W3CDTF">2014-11-03T18:33:00Z</dcterms:created>
  <dcterms:modified xsi:type="dcterms:W3CDTF">2014-11-11T21:23:00Z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